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F50" w:rsidRDefault="002420D6">
      <w:pPr>
        <w:pStyle w:val="Heading2"/>
        <w:rPr>
          <w:rFonts w:ascii="Calibri" w:hAnsi="Calibri"/>
          <w:i w:val="0"/>
        </w:rPr>
      </w:pPr>
      <w:r>
        <w:rPr>
          <w:rFonts w:ascii="Calibri" w:hAnsi="Calibri"/>
          <w:i w:val="0"/>
        </w:rPr>
        <w:t>CR-05 - Goals and Outcomes</w:t>
      </w:r>
    </w:p>
    <w:p w:rsidR="005D4F50" w:rsidRDefault="002420D6">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5D4F50" w:rsidRDefault="002420D6">
      <w:pPr>
        <w:keepNext/>
        <w:widowControl w:val="0"/>
        <w:spacing w:after="0" w:line="240" w:lineRule="auto"/>
      </w:pPr>
      <w:r>
        <w:t xml:space="preserve">This could be an overview that includes major initiatives and highlights that were proposed and executed throughout the </w:t>
      </w:r>
      <w:r>
        <w:t>program year.</w:t>
      </w:r>
    </w:p>
    <w:p w:rsidR="005D4F50" w:rsidRDefault="005D4F50">
      <w:pPr>
        <w:keepNext/>
        <w:widowControl w:val="0"/>
        <w:spacing w:after="0" w:line="240" w:lineRule="auto"/>
        <w:rPr>
          <w:b/>
        </w:rPr>
      </w:pPr>
    </w:p>
    <w:p w:rsidR="005D4F50" w:rsidRDefault="002420D6">
      <w:pPr>
        <w:widowControl w:val="0"/>
        <w:spacing w:beforeAutospacing="1" w:afterAutospacing="1"/>
        <w:rPr>
          <w:szCs w:val="24"/>
        </w:rPr>
      </w:pPr>
      <w:r>
        <w:t>We provided $154,000 in HOME funds for down payment assistance to four first time homebuyers. These first-time homebuyers purchased newly constructed homes developed by a local non-profit developer. The housing market is still challenging. P</w:t>
      </w:r>
      <w:r>
        <w:t>roperties are still selling very quickly with multiple offers over asking price. Home prices have dramatically increased which has made it very challenging to be a first-time homebuyer. A pending soft commitment of $850,000 in HOME funds was made to suppor</w:t>
      </w:r>
      <w:r>
        <w:t>t a funding application for the development of 150 units of rental housing at the Marriner Mill. This project has not started construction yet as it is still pulling together all financing. Another pending soft commitment of $1,000,000 in HOME funds was ma</w:t>
      </w:r>
      <w:r>
        <w:t xml:space="preserve">de to support a funding application for the development of 98 units of affordable rental housing at 59-71 Merrimack Street. This project has not started construction yet as it is still pulling together all financing. The </w:t>
      </w:r>
      <w:bookmarkStart w:id="0" w:name="_GoBack"/>
      <w:bookmarkEnd w:id="0"/>
      <w:r>
        <w:t xml:space="preserve">Stone Mill has fully leased up the </w:t>
      </w:r>
      <w:r>
        <w:t>86 units and a ribbon cutting was held. Island Parkside Phase II (now known as the Armand Michael Hyatt Apartments) also has fully leased up the 40 units and held a ribbon cutting.  Since many non-profit organizations received ARPA/Free Cash funding from t</w:t>
      </w:r>
      <w:r>
        <w:t>he City for FY24-FY25 through the Creating a Thriving Lawrence Program, the Mayor decided not to fund any public service activities except for the ongoing commitment to Emmaus.   CDBG funds were used to defease the last note on the City’s Section 108 loan.</w:t>
      </w:r>
      <w:r>
        <w:t xml:space="preserve"> By doing this, the City has freed up future Program Year CDBG funds that would have been needed to make the semi-annual loan payments.</w:t>
      </w:r>
    </w:p>
    <w:p w:rsidR="005D4F50" w:rsidRDefault="002420D6">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w:t>
      </w:r>
      <w:r>
        <w:rPr>
          <w:b/>
          <w:sz w:val="24"/>
          <w:szCs w:val="24"/>
        </w:rPr>
        <w:t>ain, if applicable, why progress was not made toward meeting goals and objectives.  91.520(g)</w:t>
      </w:r>
    </w:p>
    <w:p w:rsidR="005D4F50" w:rsidRDefault="002420D6">
      <w:pPr>
        <w:keepNext/>
        <w:widowControl w:val="0"/>
        <w:spacing w:after="0" w:line="240" w:lineRule="auto"/>
        <w:rPr>
          <w:szCs w:val="24"/>
        </w:rPr>
      </w:pPr>
      <w:r>
        <w:t>Categories, priority levels, funding sources and amounts, outcomes/objectives, goal outcome indicators, units of measure, targets, actual outcomes/outputs, and pe</w:t>
      </w:r>
      <w:r>
        <w:t>rcentage completed for each of the grantee’s program year goals.</w:t>
      </w:r>
    </w:p>
    <w:p w:rsidR="005D4F50" w:rsidRDefault="005D4F50">
      <w:pPr>
        <w:widowControl w:val="0"/>
        <w:rPr>
          <w:b/>
          <w:sz w:val="24"/>
          <w:szCs w:val="24"/>
        </w:rPr>
      </w:pPr>
    </w:p>
    <w:tbl>
      <w:tblPr>
        <w:tblStyle w:val="TableGrid"/>
        <w:tblW w:w="13728" w:type="dxa"/>
        <w:tblInd w:w="0" w:type="dxa"/>
        <w:tblLook w:val="04A0" w:firstRow="1" w:lastRow="0" w:firstColumn="1" w:lastColumn="0" w:noHBand="0" w:noVBand="1"/>
      </w:tblPr>
      <w:tblGrid>
        <w:gridCol w:w="1558"/>
        <w:gridCol w:w="1472"/>
        <w:gridCol w:w="1054"/>
        <w:gridCol w:w="2104"/>
        <w:gridCol w:w="1286"/>
        <w:gridCol w:w="980"/>
        <w:gridCol w:w="954"/>
        <w:gridCol w:w="1379"/>
        <w:gridCol w:w="980"/>
        <w:gridCol w:w="935"/>
        <w:gridCol w:w="1026"/>
      </w:tblGrid>
      <w:tr w:rsidR="005D4F50">
        <w:tc>
          <w:tcPr>
            <w:tcW w:w="1248" w:type="dxa"/>
          </w:tcPr>
          <w:p w:rsidR="005D4F50" w:rsidRDefault="002420D6">
            <w:pPr>
              <w:keepNext/>
              <w:widowControl w:val="0"/>
              <w:spacing w:after="0" w:line="240" w:lineRule="auto"/>
              <w:rPr>
                <w:b/>
              </w:rPr>
            </w:pPr>
            <w:r>
              <w:rPr>
                <w:b/>
              </w:rPr>
              <w:lastRenderedPageBreak/>
              <w:t>Goal</w:t>
            </w:r>
          </w:p>
        </w:tc>
        <w:tc>
          <w:tcPr>
            <w:tcW w:w="1248" w:type="dxa"/>
          </w:tcPr>
          <w:p w:rsidR="005D4F50" w:rsidRDefault="002420D6">
            <w:pPr>
              <w:keepNext/>
              <w:widowControl w:val="0"/>
              <w:spacing w:after="0" w:line="240" w:lineRule="auto"/>
              <w:rPr>
                <w:b/>
              </w:rPr>
            </w:pPr>
            <w:r>
              <w:rPr>
                <w:b/>
              </w:rPr>
              <w:t>Category</w:t>
            </w:r>
          </w:p>
        </w:tc>
        <w:tc>
          <w:tcPr>
            <w:tcW w:w="1248" w:type="dxa"/>
          </w:tcPr>
          <w:p w:rsidR="005D4F50" w:rsidRDefault="002420D6">
            <w:pPr>
              <w:keepNext/>
              <w:widowControl w:val="0"/>
              <w:spacing w:after="0" w:line="240" w:lineRule="auto"/>
              <w:rPr>
                <w:b/>
              </w:rPr>
            </w:pPr>
            <w:r>
              <w:rPr>
                <w:b/>
              </w:rPr>
              <w:t>Source / Amount</w:t>
            </w:r>
          </w:p>
        </w:tc>
        <w:tc>
          <w:tcPr>
            <w:tcW w:w="1248" w:type="dxa"/>
          </w:tcPr>
          <w:p w:rsidR="005D4F50" w:rsidRDefault="002420D6">
            <w:pPr>
              <w:keepNext/>
              <w:widowControl w:val="0"/>
              <w:spacing w:after="0" w:line="240" w:lineRule="auto"/>
              <w:rPr>
                <w:b/>
              </w:rPr>
            </w:pPr>
            <w:r>
              <w:rPr>
                <w:b/>
              </w:rPr>
              <w:t>Indicator</w:t>
            </w:r>
          </w:p>
        </w:tc>
        <w:tc>
          <w:tcPr>
            <w:tcW w:w="1248" w:type="dxa"/>
          </w:tcPr>
          <w:p w:rsidR="005D4F50" w:rsidRDefault="002420D6">
            <w:pPr>
              <w:keepNext/>
              <w:widowControl w:val="0"/>
              <w:spacing w:after="0" w:line="240" w:lineRule="auto"/>
              <w:rPr>
                <w:b/>
              </w:rPr>
            </w:pPr>
            <w:r>
              <w:rPr>
                <w:b/>
              </w:rPr>
              <w:t>Unit of Measure</w:t>
            </w:r>
          </w:p>
        </w:tc>
        <w:tc>
          <w:tcPr>
            <w:tcW w:w="1248" w:type="dxa"/>
          </w:tcPr>
          <w:p w:rsidR="005D4F50" w:rsidRDefault="002420D6">
            <w:pPr>
              <w:keepNext/>
              <w:widowControl w:val="0"/>
              <w:spacing w:after="0" w:line="240" w:lineRule="auto"/>
              <w:rPr>
                <w:b/>
              </w:rPr>
            </w:pPr>
            <w:r>
              <w:rPr>
                <w:b/>
              </w:rPr>
              <w:t>Expected – Strategic Plan</w:t>
            </w:r>
          </w:p>
        </w:tc>
        <w:tc>
          <w:tcPr>
            <w:tcW w:w="1248" w:type="dxa"/>
          </w:tcPr>
          <w:p w:rsidR="005D4F50" w:rsidRDefault="002420D6">
            <w:pPr>
              <w:keepNext/>
              <w:widowControl w:val="0"/>
              <w:spacing w:after="0" w:line="240" w:lineRule="auto"/>
              <w:rPr>
                <w:b/>
              </w:rPr>
            </w:pPr>
            <w:r>
              <w:rPr>
                <w:b/>
              </w:rPr>
              <w:t>Actual – Strategic Plan</w:t>
            </w:r>
          </w:p>
        </w:tc>
        <w:tc>
          <w:tcPr>
            <w:tcW w:w="1248" w:type="dxa"/>
          </w:tcPr>
          <w:p w:rsidR="005D4F50" w:rsidRDefault="002420D6">
            <w:pPr>
              <w:keepNext/>
              <w:widowControl w:val="0"/>
              <w:spacing w:after="0" w:line="240" w:lineRule="auto"/>
              <w:rPr>
                <w:b/>
              </w:rPr>
            </w:pPr>
            <w:r>
              <w:rPr>
                <w:b/>
              </w:rPr>
              <w:t>Percent Complete</w:t>
            </w:r>
          </w:p>
        </w:tc>
        <w:tc>
          <w:tcPr>
            <w:tcW w:w="1248" w:type="dxa"/>
          </w:tcPr>
          <w:p w:rsidR="005D4F50" w:rsidRDefault="002420D6">
            <w:pPr>
              <w:keepNext/>
              <w:widowControl w:val="0"/>
              <w:spacing w:after="0" w:line="240" w:lineRule="auto"/>
              <w:rPr>
                <w:b/>
              </w:rPr>
            </w:pPr>
            <w:r>
              <w:rPr>
                <w:b/>
              </w:rPr>
              <w:t>Expected – Program Year</w:t>
            </w:r>
          </w:p>
        </w:tc>
        <w:tc>
          <w:tcPr>
            <w:tcW w:w="1248" w:type="dxa"/>
          </w:tcPr>
          <w:p w:rsidR="005D4F50" w:rsidRDefault="002420D6">
            <w:pPr>
              <w:keepNext/>
              <w:widowControl w:val="0"/>
              <w:spacing w:after="0" w:line="240" w:lineRule="auto"/>
              <w:rPr>
                <w:b/>
              </w:rPr>
            </w:pPr>
            <w:r>
              <w:rPr>
                <w:b/>
              </w:rPr>
              <w:t>Actual – Program Year</w:t>
            </w:r>
          </w:p>
        </w:tc>
        <w:tc>
          <w:tcPr>
            <w:tcW w:w="1248" w:type="dxa"/>
          </w:tcPr>
          <w:p w:rsidR="005D4F50" w:rsidRDefault="002420D6">
            <w:pPr>
              <w:keepNext/>
              <w:widowControl w:val="0"/>
              <w:spacing w:after="0" w:line="240" w:lineRule="auto"/>
              <w:rPr>
                <w:b/>
              </w:rPr>
            </w:pPr>
            <w:r>
              <w:rPr>
                <w:b/>
              </w:rPr>
              <w:t>Percent Complete</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Public service activities other than Low/Moderate Income Housing Benefit</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3</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w:t>
            </w:r>
            <w:r>
              <w:rPr>
                <w:color w:val="000000"/>
                <w:sz w:val="22"/>
              </w:rPr>
              <w:t xml:space="preserve"> / HOME: $ / ESG: $0</w:t>
            </w:r>
          </w:p>
        </w:tc>
        <w:tc>
          <w:tcPr>
            <w:tcW w:w="0" w:type="auto"/>
            <w:vAlign w:val="center"/>
          </w:tcPr>
          <w:p w:rsidR="005D4F50" w:rsidRDefault="002420D6">
            <w:pPr>
              <w:spacing w:beforeAutospacing="1" w:afterAutospacing="1"/>
            </w:pPr>
            <w:r>
              <w:rPr>
                <w:color w:val="000000"/>
                <w:sz w:val="22"/>
              </w:rPr>
              <w:t>Rental units constructed</w:t>
            </w:r>
          </w:p>
        </w:tc>
        <w:tc>
          <w:tcPr>
            <w:tcW w:w="0" w:type="auto"/>
            <w:vAlign w:val="center"/>
          </w:tcPr>
          <w:p w:rsidR="005D4F50" w:rsidRDefault="002420D6">
            <w:pPr>
              <w:spacing w:beforeAutospacing="1" w:afterAutospacing="1"/>
            </w:pPr>
            <w:r>
              <w:rPr>
                <w:color w:val="000000"/>
                <w:sz w:val="22"/>
              </w:rPr>
              <w:t>Household Housing Unit</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27</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11</w:t>
            </w:r>
          </w:p>
        </w:tc>
        <w:tc>
          <w:tcPr>
            <w:tcW w:w="0" w:type="auto"/>
            <w:vAlign w:val="center"/>
          </w:tcPr>
          <w:p w:rsidR="005D4F50" w:rsidRDefault="002420D6">
            <w:pPr>
              <w:spacing w:beforeAutospacing="1" w:afterAutospacing="1"/>
            </w:pPr>
            <w:r>
              <w:rPr>
                <w:color w:val="000000"/>
                <w:sz w:val="22"/>
              </w:rPr>
              <w:t>22</w:t>
            </w:r>
          </w:p>
        </w:tc>
        <w:tc>
          <w:tcPr>
            <w:tcW w:w="0" w:type="auto"/>
            <w:vAlign w:val="center"/>
          </w:tcPr>
          <w:p w:rsidR="005D4F50" w:rsidRDefault="002420D6">
            <w:pPr>
              <w:spacing w:beforeAutospacing="1" w:afterAutospacing="1"/>
            </w:pPr>
            <w:r>
              <w:rPr>
                <w:color w:val="000000"/>
                <w:sz w:val="22"/>
              </w:rPr>
              <w:t xml:space="preserve">       200.00%</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Rental units rehabilitated</w:t>
            </w:r>
          </w:p>
        </w:tc>
        <w:tc>
          <w:tcPr>
            <w:tcW w:w="0" w:type="auto"/>
            <w:vAlign w:val="center"/>
          </w:tcPr>
          <w:p w:rsidR="005D4F50" w:rsidRDefault="002420D6">
            <w:pPr>
              <w:spacing w:beforeAutospacing="1" w:afterAutospacing="1"/>
            </w:pPr>
            <w:r>
              <w:rPr>
                <w:color w:val="000000"/>
                <w:sz w:val="22"/>
              </w:rPr>
              <w:t>Household Housing Unit</w:t>
            </w:r>
          </w:p>
        </w:tc>
        <w:tc>
          <w:tcPr>
            <w:tcW w:w="0" w:type="auto"/>
            <w:vAlign w:val="center"/>
          </w:tcPr>
          <w:p w:rsidR="005D4F50" w:rsidRDefault="002420D6">
            <w:pPr>
              <w:spacing w:beforeAutospacing="1" w:afterAutospacing="1"/>
            </w:pPr>
            <w:r>
              <w:rPr>
                <w:color w:val="000000"/>
                <w:sz w:val="22"/>
              </w:rPr>
              <w:t>150</w:t>
            </w:r>
          </w:p>
        </w:tc>
        <w:tc>
          <w:tcPr>
            <w:tcW w:w="0" w:type="auto"/>
            <w:vAlign w:val="center"/>
          </w:tcPr>
          <w:p w:rsidR="005D4F50" w:rsidRDefault="002420D6">
            <w:pPr>
              <w:spacing w:beforeAutospacing="1" w:afterAutospacing="1"/>
            </w:pPr>
            <w:r>
              <w:rPr>
                <w:color w:val="000000"/>
                <w:sz w:val="22"/>
              </w:rPr>
              <w:t>72</w:t>
            </w:r>
          </w:p>
        </w:tc>
        <w:tc>
          <w:tcPr>
            <w:tcW w:w="0" w:type="auto"/>
            <w:vAlign w:val="center"/>
          </w:tcPr>
          <w:p w:rsidR="005D4F50" w:rsidRDefault="002420D6">
            <w:pPr>
              <w:spacing w:beforeAutospacing="1" w:afterAutospacing="1"/>
            </w:pPr>
            <w:r>
              <w:rPr>
                <w:color w:val="000000"/>
                <w:sz w:val="22"/>
              </w:rPr>
              <w:t xml:space="preserve">        48.00%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7</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Homeowner Housing Added</w:t>
            </w:r>
          </w:p>
        </w:tc>
        <w:tc>
          <w:tcPr>
            <w:tcW w:w="0" w:type="auto"/>
            <w:vAlign w:val="center"/>
          </w:tcPr>
          <w:p w:rsidR="005D4F50" w:rsidRDefault="002420D6">
            <w:pPr>
              <w:spacing w:beforeAutospacing="1" w:afterAutospacing="1"/>
            </w:pPr>
            <w:r>
              <w:rPr>
                <w:color w:val="000000"/>
                <w:sz w:val="22"/>
              </w:rPr>
              <w:t>Household Housing Unit</w:t>
            </w:r>
          </w:p>
        </w:tc>
        <w:tc>
          <w:tcPr>
            <w:tcW w:w="0" w:type="auto"/>
            <w:vAlign w:val="center"/>
          </w:tcPr>
          <w:p w:rsidR="005D4F50" w:rsidRDefault="002420D6">
            <w:pPr>
              <w:spacing w:beforeAutospacing="1" w:afterAutospacing="1"/>
            </w:pPr>
            <w:r>
              <w:rPr>
                <w:color w:val="000000"/>
                <w:sz w:val="22"/>
              </w:rPr>
              <w:t>4</w:t>
            </w:r>
          </w:p>
        </w:tc>
        <w:tc>
          <w:tcPr>
            <w:tcW w:w="0" w:type="auto"/>
            <w:vAlign w:val="center"/>
          </w:tcPr>
          <w:p w:rsidR="005D4F50" w:rsidRDefault="002420D6">
            <w:pPr>
              <w:spacing w:beforeAutospacing="1" w:afterAutospacing="1"/>
            </w:pPr>
            <w:r>
              <w:rPr>
                <w:color w:val="000000"/>
                <w:sz w:val="22"/>
              </w:rPr>
              <w:t>5</w:t>
            </w:r>
          </w:p>
        </w:tc>
        <w:tc>
          <w:tcPr>
            <w:tcW w:w="0" w:type="auto"/>
            <w:vAlign w:val="center"/>
          </w:tcPr>
          <w:p w:rsidR="005D4F50" w:rsidRDefault="002420D6">
            <w:pPr>
              <w:spacing w:beforeAutospacing="1" w:afterAutospacing="1"/>
            </w:pPr>
            <w:r>
              <w:rPr>
                <w:color w:val="000000"/>
                <w:sz w:val="22"/>
              </w:rPr>
              <w:t xml:space="preserve">       125.00%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lastRenderedPageBreak/>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Homeowner Housing Rehabilitated</w:t>
            </w:r>
          </w:p>
        </w:tc>
        <w:tc>
          <w:tcPr>
            <w:tcW w:w="0" w:type="auto"/>
            <w:vAlign w:val="center"/>
          </w:tcPr>
          <w:p w:rsidR="005D4F50" w:rsidRDefault="002420D6">
            <w:pPr>
              <w:spacing w:beforeAutospacing="1" w:afterAutospacing="1"/>
            </w:pPr>
            <w:r>
              <w:rPr>
                <w:color w:val="000000"/>
                <w:sz w:val="22"/>
              </w:rPr>
              <w:t>Household Housing Unit</w:t>
            </w:r>
          </w:p>
        </w:tc>
        <w:tc>
          <w:tcPr>
            <w:tcW w:w="0" w:type="auto"/>
            <w:vAlign w:val="center"/>
          </w:tcPr>
          <w:p w:rsidR="005D4F50" w:rsidRDefault="002420D6">
            <w:pPr>
              <w:spacing w:beforeAutospacing="1" w:afterAutospacing="1"/>
            </w:pPr>
            <w:r>
              <w:rPr>
                <w:color w:val="000000"/>
                <w:sz w:val="22"/>
              </w:rPr>
              <w:t>73</w:t>
            </w:r>
          </w:p>
        </w:tc>
        <w:tc>
          <w:tcPr>
            <w:tcW w:w="0" w:type="auto"/>
            <w:vAlign w:val="center"/>
          </w:tcPr>
          <w:p w:rsidR="005D4F50" w:rsidRDefault="002420D6">
            <w:pPr>
              <w:spacing w:beforeAutospacing="1" w:afterAutospacing="1"/>
            </w:pPr>
            <w:r>
              <w:rPr>
                <w:color w:val="000000"/>
                <w:sz w:val="22"/>
              </w:rPr>
              <w:t>103</w:t>
            </w:r>
          </w:p>
        </w:tc>
        <w:tc>
          <w:tcPr>
            <w:tcW w:w="0" w:type="auto"/>
            <w:vAlign w:val="center"/>
          </w:tcPr>
          <w:p w:rsidR="005D4F50" w:rsidRDefault="002420D6">
            <w:pPr>
              <w:spacing w:beforeAutospacing="1" w:afterAutospacing="1"/>
            </w:pPr>
            <w:r>
              <w:rPr>
                <w:color w:val="000000"/>
                <w:sz w:val="22"/>
              </w:rPr>
              <w:t xml:space="preserve">       141.10%</w:t>
            </w:r>
          </w:p>
        </w:tc>
        <w:tc>
          <w:tcPr>
            <w:tcW w:w="0" w:type="auto"/>
            <w:vAlign w:val="center"/>
          </w:tcPr>
          <w:p w:rsidR="005D4F50" w:rsidRDefault="002420D6">
            <w:pPr>
              <w:spacing w:beforeAutospacing="1" w:afterAutospacing="1"/>
            </w:pPr>
            <w:r>
              <w:rPr>
                <w:color w:val="000000"/>
                <w:sz w:val="22"/>
              </w:rPr>
              <w:t>12</w:t>
            </w:r>
          </w:p>
        </w:tc>
        <w:tc>
          <w:tcPr>
            <w:tcW w:w="0" w:type="auto"/>
            <w:vAlign w:val="center"/>
          </w:tcPr>
          <w:p w:rsidR="005D4F50" w:rsidRDefault="002420D6">
            <w:pPr>
              <w:spacing w:beforeAutospacing="1" w:afterAutospacing="1"/>
            </w:pPr>
            <w:r>
              <w:rPr>
                <w:color w:val="000000"/>
                <w:sz w:val="22"/>
              </w:rPr>
              <w:t>12</w:t>
            </w:r>
          </w:p>
        </w:tc>
        <w:tc>
          <w:tcPr>
            <w:tcW w:w="0" w:type="auto"/>
            <w:vAlign w:val="center"/>
          </w:tcPr>
          <w:p w:rsidR="005D4F50" w:rsidRDefault="002420D6">
            <w:pPr>
              <w:spacing w:beforeAutospacing="1" w:afterAutospacing="1"/>
            </w:pPr>
            <w:r>
              <w:rPr>
                <w:color w:val="000000"/>
                <w:sz w:val="22"/>
              </w:rPr>
              <w:t xml:space="preserve">       100.00%</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Direct Financial Assistance to Homebuyers</w:t>
            </w:r>
          </w:p>
        </w:tc>
        <w:tc>
          <w:tcPr>
            <w:tcW w:w="0" w:type="auto"/>
            <w:vAlign w:val="center"/>
          </w:tcPr>
          <w:p w:rsidR="005D4F50" w:rsidRDefault="002420D6">
            <w:pPr>
              <w:spacing w:beforeAutospacing="1" w:afterAutospacing="1"/>
            </w:pPr>
            <w:r>
              <w:rPr>
                <w:color w:val="000000"/>
                <w:sz w:val="22"/>
              </w:rPr>
              <w:t>Households Assisted</w:t>
            </w:r>
          </w:p>
        </w:tc>
        <w:tc>
          <w:tcPr>
            <w:tcW w:w="0" w:type="auto"/>
            <w:vAlign w:val="center"/>
          </w:tcPr>
          <w:p w:rsidR="005D4F50" w:rsidRDefault="002420D6">
            <w:pPr>
              <w:spacing w:beforeAutospacing="1" w:afterAutospacing="1"/>
            </w:pPr>
            <w:r>
              <w:rPr>
                <w:color w:val="000000"/>
                <w:sz w:val="22"/>
              </w:rPr>
              <w:t>65</w:t>
            </w:r>
          </w:p>
        </w:tc>
        <w:tc>
          <w:tcPr>
            <w:tcW w:w="0" w:type="auto"/>
            <w:vAlign w:val="center"/>
          </w:tcPr>
          <w:p w:rsidR="005D4F50" w:rsidRDefault="002420D6">
            <w:pPr>
              <w:spacing w:beforeAutospacing="1" w:afterAutospacing="1"/>
            </w:pPr>
            <w:r>
              <w:rPr>
                <w:color w:val="000000"/>
                <w:sz w:val="22"/>
              </w:rPr>
              <w:t>4</w:t>
            </w:r>
          </w:p>
        </w:tc>
        <w:tc>
          <w:tcPr>
            <w:tcW w:w="0" w:type="auto"/>
            <w:vAlign w:val="center"/>
          </w:tcPr>
          <w:p w:rsidR="005D4F50" w:rsidRDefault="002420D6">
            <w:pPr>
              <w:spacing w:beforeAutospacing="1" w:afterAutospacing="1"/>
            </w:pPr>
            <w:r>
              <w:rPr>
                <w:color w:val="000000"/>
                <w:sz w:val="22"/>
              </w:rPr>
              <w:t xml:space="preserve">   </w:t>
            </w:r>
            <w:r>
              <w:rPr>
                <w:color w:val="000000"/>
                <w:sz w:val="22"/>
              </w:rPr>
              <w:t xml:space="preserve">      6.15%</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Homelessness Prevention</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1</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Housing for Homeless added</w:t>
            </w:r>
          </w:p>
        </w:tc>
        <w:tc>
          <w:tcPr>
            <w:tcW w:w="0" w:type="auto"/>
            <w:vAlign w:val="center"/>
          </w:tcPr>
          <w:p w:rsidR="005D4F50" w:rsidRDefault="002420D6">
            <w:pPr>
              <w:spacing w:beforeAutospacing="1" w:afterAutospacing="1"/>
            </w:pPr>
            <w:r>
              <w:rPr>
                <w:color w:val="000000"/>
                <w:sz w:val="22"/>
              </w:rPr>
              <w:t>Household Housing Unit</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Affordable Housing</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p>
        </w:tc>
        <w:tc>
          <w:tcPr>
            <w:tcW w:w="0" w:type="auto"/>
            <w:vAlign w:val="center"/>
          </w:tcPr>
          <w:p w:rsidR="005D4F50" w:rsidRDefault="002420D6">
            <w:pPr>
              <w:spacing w:beforeAutospacing="1" w:afterAutospacing="1"/>
            </w:pPr>
            <w:r>
              <w:rPr>
                <w:color w:val="000000"/>
                <w:sz w:val="22"/>
              </w:rPr>
              <w:t>CDBG: $ / HOPWA: $0 / HOME: $ / ESG: $0</w:t>
            </w:r>
          </w:p>
        </w:tc>
        <w:tc>
          <w:tcPr>
            <w:tcW w:w="0" w:type="auto"/>
            <w:vAlign w:val="center"/>
          </w:tcPr>
          <w:p w:rsidR="005D4F50" w:rsidRDefault="002420D6">
            <w:pPr>
              <w:spacing w:beforeAutospacing="1" w:afterAutospacing="1"/>
            </w:pPr>
            <w:r>
              <w:rPr>
                <w:color w:val="000000"/>
                <w:sz w:val="22"/>
              </w:rPr>
              <w:t>Housing for People with HIV/AIDS added</w:t>
            </w:r>
          </w:p>
        </w:tc>
        <w:tc>
          <w:tcPr>
            <w:tcW w:w="0" w:type="auto"/>
            <w:vAlign w:val="center"/>
          </w:tcPr>
          <w:p w:rsidR="005D4F50" w:rsidRDefault="002420D6">
            <w:pPr>
              <w:spacing w:beforeAutospacing="1" w:afterAutospacing="1"/>
            </w:pPr>
            <w:r>
              <w:rPr>
                <w:color w:val="000000"/>
                <w:sz w:val="22"/>
              </w:rPr>
              <w:t>Household Housing Unit</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lastRenderedPageBreak/>
              <w:t>Economic Development</w:t>
            </w:r>
          </w:p>
        </w:tc>
        <w:tc>
          <w:tcPr>
            <w:tcW w:w="0" w:type="auto"/>
            <w:vAlign w:val="center"/>
          </w:tcPr>
          <w:p w:rsidR="005D4F50" w:rsidRDefault="002420D6">
            <w:pPr>
              <w:spacing w:beforeAutospacing="1" w:afterAutospacing="1"/>
            </w:pPr>
            <w:r>
              <w:rPr>
                <w:color w:val="000000"/>
                <w:sz w:val="22"/>
              </w:rPr>
              <w:t>Non-Homeless Special Needs</w:t>
            </w:r>
            <w:r>
              <w:rPr>
                <w:color w:val="000000"/>
                <w:sz w:val="22"/>
              </w:rPr>
              <w:br/>
              <w:t>Non-Housing Community Development</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Facade treatment/business building rehabilitation</w:t>
            </w:r>
          </w:p>
        </w:tc>
        <w:tc>
          <w:tcPr>
            <w:tcW w:w="0" w:type="auto"/>
            <w:vAlign w:val="center"/>
          </w:tcPr>
          <w:p w:rsidR="005D4F50" w:rsidRDefault="002420D6">
            <w:pPr>
              <w:spacing w:beforeAutospacing="1" w:afterAutospacing="1"/>
            </w:pPr>
            <w:r>
              <w:rPr>
                <w:color w:val="000000"/>
                <w:sz w:val="22"/>
              </w:rPr>
              <w:t>Business</w:t>
            </w:r>
          </w:p>
        </w:tc>
        <w:tc>
          <w:tcPr>
            <w:tcW w:w="0" w:type="auto"/>
            <w:vAlign w:val="center"/>
          </w:tcPr>
          <w:p w:rsidR="005D4F50" w:rsidRDefault="002420D6">
            <w:pPr>
              <w:spacing w:beforeAutospacing="1" w:afterAutospacing="1"/>
            </w:pPr>
            <w:r>
              <w:rPr>
                <w:color w:val="000000"/>
                <w:sz w:val="22"/>
              </w:rPr>
              <w:t>3</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0.00%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Economic Development</w:t>
            </w:r>
          </w:p>
        </w:tc>
        <w:tc>
          <w:tcPr>
            <w:tcW w:w="0" w:type="auto"/>
            <w:vAlign w:val="center"/>
          </w:tcPr>
          <w:p w:rsidR="005D4F50" w:rsidRDefault="002420D6">
            <w:pPr>
              <w:spacing w:beforeAutospacing="1" w:afterAutospacing="1"/>
            </w:pPr>
            <w:r>
              <w:rPr>
                <w:color w:val="000000"/>
                <w:sz w:val="22"/>
              </w:rPr>
              <w:t>Non-Homeless Special Needs</w:t>
            </w:r>
            <w:r>
              <w:rPr>
                <w:color w:val="000000"/>
                <w:sz w:val="22"/>
              </w:rPr>
              <w:br/>
              <w:t>Non-Housing Community Development</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Jobs created/retained</w:t>
            </w:r>
          </w:p>
        </w:tc>
        <w:tc>
          <w:tcPr>
            <w:tcW w:w="0" w:type="auto"/>
            <w:vAlign w:val="center"/>
          </w:tcPr>
          <w:p w:rsidR="005D4F50" w:rsidRDefault="002420D6">
            <w:pPr>
              <w:spacing w:beforeAutospacing="1" w:afterAutospacing="1"/>
            </w:pPr>
            <w:r>
              <w:rPr>
                <w:color w:val="000000"/>
                <w:sz w:val="22"/>
              </w:rPr>
              <w:t>Jobs</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4</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Economic Development</w:t>
            </w:r>
          </w:p>
        </w:tc>
        <w:tc>
          <w:tcPr>
            <w:tcW w:w="0" w:type="auto"/>
            <w:vAlign w:val="center"/>
          </w:tcPr>
          <w:p w:rsidR="005D4F50" w:rsidRDefault="002420D6">
            <w:pPr>
              <w:spacing w:beforeAutospacing="1" w:afterAutospacing="1"/>
            </w:pPr>
            <w:r>
              <w:rPr>
                <w:color w:val="000000"/>
                <w:sz w:val="22"/>
              </w:rPr>
              <w:t>Non-Homeless Special Needs</w:t>
            </w:r>
            <w:r>
              <w:rPr>
                <w:color w:val="000000"/>
                <w:sz w:val="22"/>
              </w:rPr>
              <w:br/>
              <w:t>Non-Housing Community Development</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Businesses assisted</w:t>
            </w:r>
          </w:p>
        </w:tc>
        <w:tc>
          <w:tcPr>
            <w:tcW w:w="0" w:type="auto"/>
            <w:vAlign w:val="center"/>
          </w:tcPr>
          <w:p w:rsidR="005D4F50" w:rsidRDefault="002420D6">
            <w:pPr>
              <w:spacing w:beforeAutospacing="1" w:afterAutospacing="1"/>
            </w:pPr>
            <w:r>
              <w:rPr>
                <w:color w:val="000000"/>
                <w:sz w:val="22"/>
              </w:rPr>
              <w:t>Businesses Assisted</w:t>
            </w:r>
          </w:p>
        </w:tc>
        <w:tc>
          <w:tcPr>
            <w:tcW w:w="0" w:type="auto"/>
            <w:vAlign w:val="center"/>
          </w:tcPr>
          <w:p w:rsidR="005D4F50" w:rsidRDefault="002420D6">
            <w:pPr>
              <w:spacing w:beforeAutospacing="1" w:afterAutospacing="1"/>
            </w:pPr>
            <w:r>
              <w:rPr>
                <w:color w:val="000000"/>
                <w:sz w:val="22"/>
              </w:rPr>
              <w:t>22</w:t>
            </w:r>
          </w:p>
        </w:tc>
        <w:tc>
          <w:tcPr>
            <w:tcW w:w="0" w:type="auto"/>
            <w:vAlign w:val="center"/>
          </w:tcPr>
          <w:p w:rsidR="005D4F50" w:rsidRDefault="002420D6">
            <w:pPr>
              <w:spacing w:beforeAutospacing="1" w:afterAutospacing="1"/>
            </w:pPr>
            <w:r>
              <w:rPr>
                <w:color w:val="000000"/>
                <w:sz w:val="22"/>
              </w:rPr>
              <w:t>4</w:t>
            </w:r>
          </w:p>
        </w:tc>
        <w:tc>
          <w:tcPr>
            <w:tcW w:w="0" w:type="auto"/>
            <w:vAlign w:val="center"/>
          </w:tcPr>
          <w:p w:rsidR="005D4F50" w:rsidRDefault="002420D6">
            <w:pPr>
              <w:spacing w:beforeAutospacing="1" w:afterAutospacing="1"/>
            </w:pPr>
            <w:r>
              <w:rPr>
                <w:color w:val="000000"/>
                <w:sz w:val="22"/>
              </w:rPr>
              <w:t xml:space="preserve">        18.18%</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Homeless Services</w:t>
            </w:r>
          </w:p>
        </w:tc>
        <w:tc>
          <w:tcPr>
            <w:tcW w:w="0" w:type="auto"/>
            <w:vAlign w:val="center"/>
          </w:tcPr>
          <w:p w:rsidR="005D4F50" w:rsidRDefault="002420D6">
            <w:pPr>
              <w:spacing w:beforeAutospacing="1" w:afterAutospacing="1"/>
            </w:pPr>
            <w:r>
              <w:rPr>
                <w:color w:val="000000"/>
                <w:sz w:val="22"/>
              </w:rPr>
              <w:t>Homeless</w:t>
            </w:r>
          </w:p>
        </w:tc>
        <w:tc>
          <w:tcPr>
            <w:tcW w:w="0" w:type="auto"/>
            <w:vAlign w:val="center"/>
          </w:tcPr>
          <w:p w:rsidR="005D4F50" w:rsidRDefault="002420D6">
            <w:pPr>
              <w:spacing w:beforeAutospacing="1" w:afterAutospacing="1"/>
            </w:pPr>
            <w:r>
              <w:rPr>
                <w:color w:val="000000"/>
                <w:sz w:val="22"/>
              </w:rPr>
              <w:t>CDBG: $ / ESG: $</w:t>
            </w:r>
          </w:p>
        </w:tc>
        <w:tc>
          <w:tcPr>
            <w:tcW w:w="0" w:type="auto"/>
            <w:vAlign w:val="center"/>
          </w:tcPr>
          <w:p w:rsidR="005D4F50" w:rsidRDefault="002420D6">
            <w:pPr>
              <w:spacing w:beforeAutospacing="1" w:afterAutospacing="1"/>
            </w:pPr>
            <w:r>
              <w:rPr>
                <w:color w:val="000000"/>
                <w:sz w:val="22"/>
              </w:rPr>
              <w:t>Public service activities other than Low/Moderate Income Housing Benefit</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10</w:t>
            </w:r>
          </w:p>
        </w:tc>
        <w:tc>
          <w:tcPr>
            <w:tcW w:w="0" w:type="auto"/>
            <w:vAlign w:val="center"/>
          </w:tcPr>
          <w:p w:rsidR="005D4F50" w:rsidRDefault="002420D6">
            <w:pPr>
              <w:spacing w:beforeAutospacing="1" w:afterAutospacing="1"/>
            </w:pPr>
            <w:r>
              <w:rPr>
                <w:color w:val="000000"/>
                <w:sz w:val="22"/>
              </w:rPr>
              <w:t>14</w:t>
            </w:r>
          </w:p>
        </w:tc>
        <w:tc>
          <w:tcPr>
            <w:tcW w:w="0" w:type="auto"/>
            <w:vAlign w:val="center"/>
          </w:tcPr>
          <w:p w:rsidR="005D4F50" w:rsidRDefault="002420D6">
            <w:pPr>
              <w:spacing w:beforeAutospacing="1" w:afterAutospacing="1"/>
            </w:pPr>
            <w:r>
              <w:rPr>
                <w:color w:val="000000"/>
                <w:sz w:val="22"/>
              </w:rPr>
              <w:t xml:space="preserve">       140.00%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Homeless Services</w:t>
            </w:r>
          </w:p>
        </w:tc>
        <w:tc>
          <w:tcPr>
            <w:tcW w:w="0" w:type="auto"/>
            <w:vAlign w:val="center"/>
          </w:tcPr>
          <w:p w:rsidR="005D4F50" w:rsidRDefault="002420D6">
            <w:pPr>
              <w:spacing w:beforeAutospacing="1" w:afterAutospacing="1"/>
            </w:pPr>
            <w:r>
              <w:rPr>
                <w:color w:val="000000"/>
                <w:sz w:val="22"/>
              </w:rPr>
              <w:t>Homeless</w:t>
            </w:r>
          </w:p>
        </w:tc>
        <w:tc>
          <w:tcPr>
            <w:tcW w:w="0" w:type="auto"/>
            <w:vAlign w:val="center"/>
          </w:tcPr>
          <w:p w:rsidR="005D4F50" w:rsidRDefault="002420D6">
            <w:pPr>
              <w:spacing w:beforeAutospacing="1" w:afterAutospacing="1"/>
            </w:pPr>
            <w:r>
              <w:rPr>
                <w:color w:val="000000"/>
                <w:sz w:val="22"/>
              </w:rPr>
              <w:t>CDBG: $ / ESG: $</w:t>
            </w:r>
          </w:p>
        </w:tc>
        <w:tc>
          <w:tcPr>
            <w:tcW w:w="0" w:type="auto"/>
            <w:vAlign w:val="center"/>
          </w:tcPr>
          <w:p w:rsidR="005D4F50" w:rsidRDefault="002420D6">
            <w:pPr>
              <w:spacing w:beforeAutospacing="1" w:afterAutospacing="1"/>
            </w:pPr>
            <w:r>
              <w:rPr>
                <w:color w:val="000000"/>
                <w:sz w:val="22"/>
              </w:rPr>
              <w:t>Tenant-based rental assistance / Rapid Rehousing</w:t>
            </w:r>
          </w:p>
        </w:tc>
        <w:tc>
          <w:tcPr>
            <w:tcW w:w="0" w:type="auto"/>
            <w:vAlign w:val="center"/>
          </w:tcPr>
          <w:p w:rsidR="005D4F50" w:rsidRDefault="002420D6">
            <w:pPr>
              <w:spacing w:beforeAutospacing="1" w:afterAutospacing="1"/>
            </w:pPr>
            <w:r>
              <w:rPr>
                <w:color w:val="000000"/>
                <w:sz w:val="22"/>
              </w:rPr>
              <w:t>Households Assisted</w:t>
            </w:r>
          </w:p>
        </w:tc>
        <w:tc>
          <w:tcPr>
            <w:tcW w:w="0" w:type="auto"/>
            <w:vAlign w:val="center"/>
          </w:tcPr>
          <w:p w:rsidR="005D4F50" w:rsidRDefault="002420D6">
            <w:pPr>
              <w:spacing w:beforeAutospacing="1" w:afterAutospacing="1"/>
            </w:pPr>
            <w:r>
              <w:rPr>
                <w:color w:val="000000"/>
                <w:sz w:val="22"/>
              </w:rPr>
              <w:t>10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0.00%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Homeless Services</w:t>
            </w:r>
          </w:p>
        </w:tc>
        <w:tc>
          <w:tcPr>
            <w:tcW w:w="0" w:type="auto"/>
            <w:vAlign w:val="center"/>
          </w:tcPr>
          <w:p w:rsidR="005D4F50" w:rsidRDefault="002420D6">
            <w:pPr>
              <w:spacing w:beforeAutospacing="1" w:afterAutospacing="1"/>
            </w:pPr>
            <w:r>
              <w:rPr>
                <w:color w:val="000000"/>
                <w:sz w:val="22"/>
              </w:rPr>
              <w:t>Homeless</w:t>
            </w:r>
          </w:p>
        </w:tc>
        <w:tc>
          <w:tcPr>
            <w:tcW w:w="0" w:type="auto"/>
            <w:vAlign w:val="center"/>
          </w:tcPr>
          <w:p w:rsidR="005D4F50" w:rsidRDefault="002420D6">
            <w:pPr>
              <w:spacing w:beforeAutospacing="1" w:afterAutospacing="1"/>
            </w:pPr>
            <w:r>
              <w:rPr>
                <w:color w:val="000000"/>
                <w:sz w:val="22"/>
              </w:rPr>
              <w:t>CDBG: $ / ESG: $</w:t>
            </w:r>
          </w:p>
        </w:tc>
        <w:tc>
          <w:tcPr>
            <w:tcW w:w="0" w:type="auto"/>
            <w:vAlign w:val="center"/>
          </w:tcPr>
          <w:p w:rsidR="005D4F50" w:rsidRDefault="002420D6">
            <w:pPr>
              <w:spacing w:beforeAutospacing="1" w:afterAutospacing="1"/>
            </w:pPr>
            <w:r>
              <w:rPr>
                <w:color w:val="000000"/>
                <w:sz w:val="22"/>
              </w:rPr>
              <w:t>Homelessness Prevention</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10</w:t>
            </w:r>
          </w:p>
        </w:tc>
        <w:tc>
          <w:tcPr>
            <w:tcW w:w="0" w:type="auto"/>
            <w:vAlign w:val="center"/>
          </w:tcPr>
          <w:p w:rsidR="005D4F50" w:rsidRDefault="002420D6">
            <w:pPr>
              <w:spacing w:beforeAutospacing="1" w:afterAutospacing="1"/>
            </w:pPr>
            <w:r>
              <w:rPr>
                <w:color w:val="000000"/>
                <w:sz w:val="22"/>
              </w:rPr>
              <w:t>23</w:t>
            </w:r>
          </w:p>
        </w:tc>
        <w:tc>
          <w:tcPr>
            <w:tcW w:w="0" w:type="auto"/>
            <w:vAlign w:val="center"/>
          </w:tcPr>
          <w:p w:rsidR="005D4F50" w:rsidRDefault="002420D6">
            <w:pPr>
              <w:spacing w:beforeAutospacing="1" w:afterAutospacing="1"/>
            </w:pPr>
            <w:r>
              <w:rPr>
                <w:color w:val="000000"/>
                <w:sz w:val="22"/>
              </w:rPr>
              <w:t xml:space="preserve">       230.00%</w:t>
            </w:r>
          </w:p>
        </w:tc>
        <w:tc>
          <w:tcPr>
            <w:tcW w:w="0" w:type="auto"/>
            <w:vAlign w:val="center"/>
          </w:tcPr>
          <w:p w:rsidR="005D4F50" w:rsidRDefault="002420D6">
            <w:pPr>
              <w:spacing w:beforeAutospacing="1" w:afterAutospacing="1"/>
            </w:pPr>
            <w:r>
              <w:rPr>
                <w:color w:val="000000"/>
                <w:sz w:val="22"/>
              </w:rPr>
              <w:t>14</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0.00%</w:t>
            </w:r>
          </w:p>
        </w:tc>
      </w:tr>
      <w:tr w:rsidR="005D4F50">
        <w:trPr>
          <w:cantSplit/>
        </w:trPr>
        <w:tc>
          <w:tcPr>
            <w:tcW w:w="0" w:type="auto"/>
            <w:vAlign w:val="center"/>
          </w:tcPr>
          <w:p w:rsidR="005D4F50" w:rsidRDefault="002420D6">
            <w:pPr>
              <w:spacing w:beforeAutospacing="1" w:afterAutospacing="1"/>
            </w:pPr>
            <w:r>
              <w:rPr>
                <w:color w:val="000000"/>
                <w:sz w:val="22"/>
              </w:rPr>
              <w:lastRenderedPageBreak/>
              <w:t>Planning and Admin</w:t>
            </w:r>
          </w:p>
        </w:tc>
        <w:tc>
          <w:tcPr>
            <w:tcW w:w="0" w:type="auto"/>
            <w:vAlign w:val="center"/>
          </w:tcPr>
          <w:p w:rsidR="005D4F50" w:rsidRDefault="002420D6">
            <w:pPr>
              <w:spacing w:beforeAutospacing="1" w:afterAutospacing="1"/>
            </w:pPr>
            <w:r>
              <w:rPr>
                <w:color w:val="000000"/>
                <w:sz w:val="22"/>
              </w:rPr>
              <w:t>Affordable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5D4F50" w:rsidRDefault="002420D6">
            <w:pPr>
              <w:spacing w:beforeAutospacing="1" w:afterAutospacing="1"/>
            </w:pPr>
            <w:r>
              <w:rPr>
                <w:color w:val="000000"/>
                <w:sz w:val="22"/>
              </w:rPr>
              <w:t>CDBG: $ / HOPWA: $0 / HOME: $ / ESG: $</w:t>
            </w:r>
          </w:p>
        </w:tc>
        <w:tc>
          <w:tcPr>
            <w:tcW w:w="0" w:type="auto"/>
            <w:vAlign w:val="center"/>
          </w:tcPr>
          <w:p w:rsidR="005D4F50" w:rsidRDefault="002420D6">
            <w:pPr>
              <w:spacing w:beforeAutospacing="1" w:afterAutospacing="1"/>
            </w:pPr>
            <w:r>
              <w:rPr>
                <w:color w:val="000000"/>
                <w:sz w:val="22"/>
              </w:rPr>
              <w:t>Other</w:t>
            </w:r>
          </w:p>
        </w:tc>
        <w:tc>
          <w:tcPr>
            <w:tcW w:w="0" w:type="auto"/>
            <w:vAlign w:val="center"/>
          </w:tcPr>
          <w:p w:rsidR="005D4F50" w:rsidRDefault="002420D6">
            <w:pPr>
              <w:spacing w:beforeAutospacing="1" w:afterAutospacing="1"/>
            </w:pPr>
            <w:r>
              <w:rPr>
                <w:color w:val="000000"/>
                <w:sz w:val="22"/>
              </w:rPr>
              <w:t>Other</w:t>
            </w:r>
          </w:p>
        </w:tc>
        <w:tc>
          <w:tcPr>
            <w:tcW w:w="0" w:type="auto"/>
            <w:vAlign w:val="center"/>
          </w:tcPr>
          <w:p w:rsidR="005D4F50" w:rsidRDefault="002420D6">
            <w:pPr>
              <w:spacing w:beforeAutospacing="1" w:afterAutospacing="1"/>
            </w:pPr>
            <w:r>
              <w:rPr>
                <w:color w:val="000000"/>
                <w:sz w:val="22"/>
              </w:rPr>
              <w:t>1</w:t>
            </w:r>
          </w:p>
        </w:tc>
        <w:tc>
          <w:tcPr>
            <w:tcW w:w="0" w:type="auto"/>
            <w:vAlign w:val="center"/>
          </w:tcPr>
          <w:p w:rsidR="005D4F50" w:rsidRDefault="002420D6">
            <w:pPr>
              <w:spacing w:beforeAutospacing="1" w:afterAutospacing="1"/>
            </w:pPr>
            <w:r>
              <w:rPr>
                <w:color w:val="000000"/>
                <w:sz w:val="22"/>
              </w:rPr>
              <w:t>1</w:t>
            </w:r>
          </w:p>
        </w:tc>
        <w:tc>
          <w:tcPr>
            <w:tcW w:w="0" w:type="auto"/>
            <w:vAlign w:val="center"/>
          </w:tcPr>
          <w:p w:rsidR="005D4F50" w:rsidRDefault="002420D6">
            <w:pPr>
              <w:spacing w:beforeAutospacing="1" w:afterAutospacing="1"/>
            </w:pPr>
            <w:r>
              <w:rPr>
                <w:color w:val="000000"/>
                <w:sz w:val="22"/>
              </w:rPr>
              <w:t xml:space="preserve">       100.00%</w:t>
            </w:r>
          </w:p>
        </w:tc>
        <w:tc>
          <w:tcPr>
            <w:tcW w:w="0" w:type="auto"/>
            <w:vAlign w:val="center"/>
          </w:tcPr>
          <w:p w:rsidR="005D4F50" w:rsidRDefault="002420D6">
            <w:pPr>
              <w:spacing w:beforeAutospacing="1" w:afterAutospacing="1"/>
            </w:pPr>
            <w:r>
              <w:rPr>
                <w:color w:val="000000"/>
                <w:sz w:val="22"/>
              </w:rPr>
              <w:t>1</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0.00%</w:t>
            </w:r>
          </w:p>
        </w:tc>
      </w:tr>
      <w:tr w:rsidR="005D4F50">
        <w:trPr>
          <w:cantSplit/>
        </w:trPr>
        <w:tc>
          <w:tcPr>
            <w:tcW w:w="0" w:type="auto"/>
            <w:vAlign w:val="center"/>
          </w:tcPr>
          <w:p w:rsidR="005D4F50" w:rsidRDefault="002420D6">
            <w:pPr>
              <w:spacing w:beforeAutospacing="1" w:afterAutospacing="1"/>
            </w:pPr>
            <w:r>
              <w:rPr>
                <w:color w:val="000000"/>
                <w:sz w:val="22"/>
              </w:rPr>
              <w:t>Public Infrastructure, Facilities, and Parks</w:t>
            </w:r>
          </w:p>
        </w:tc>
        <w:tc>
          <w:tcPr>
            <w:tcW w:w="0" w:type="auto"/>
            <w:vAlign w:val="center"/>
          </w:tcPr>
          <w:p w:rsidR="005D4F50" w:rsidRDefault="002420D6">
            <w:pPr>
              <w:spacing w:beforeAutospacing="1" w:afterAutospacing="1"/>
            </w:pPr>
            <w:r>
              <w:rPr>
                <w:color w:val="000000"/>
                <w:sz w:val="22"/>
              </w:rPr>
              <w:t>Non-Housing Community Development</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Public Facility or Infrastructure Activities other than Low/Moderate Income Housing Benefit</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200</w:t>
            </w:r>
          </w:p>
        </w:tc>
        <w:tc>
          <w:tcPr>
            <w:tcW w:w="0" w:type="auto"/>
            <w:vAlign w:val="center"/>
          </w:tcPr>
          <w:p w:rsidR="005D4F50" w:rsidRDefault="002420D6">
            <w:pPr>
              <w:spacing w:beforeAutospacing="1" w:afterAutospacing="1"/>
            </w:pPr>
            <w:r>
              <w:rPr>
                <w:color w:val="000000"/>
                <w:sz w:val="22"/>
              </w:rPr>
              <w:t>286551</w:t>
            </w:r>
          </w:p>
        </w:tc>
        <w:tc>
          <w:tcPr>
            <w:tcW w:w="0" w:type="auto"/>
            <w:vAlign w:val="center"/>
          </w:tcPr>
          <w:p w:rsidR="005D4F50" w:rsidRDefault="002420D6">
            <w:pPr>
              <w:spacing w:beforeAutospacing="1" w:afterAutospacing="1"/>
            </w:pPr>
            <w:r>
              <w:rPr>
                <w:color w:val="000000"/>
                <w:sz w:val="22"/>
              </w:rPr>
              <w:t xml:space="preserve">   143,275.50%</w:t>
            </w:r>
          </w:p>
        </w:tc>
        <w:tc>
          <w:tcPr>
            <w:tcW w:w="0" w:type="auto"/>
            <w:vAlign w:val="center"/>
          </w:tcPr>
          <w:p w:rsidR="005D4F50" w:rsidRDefault="002420D6">
            <w:pPr>
              <w:spacing w:beforeAutospacing="1" w:afterAutospacing="1"/>
            </w:pPr>
            <w:r>
              <w:rPr>
                <w:color w:val="000000"/>
                <w:sz w:val="22"/>
              </w:rPr>
              <w:t>70000</w:t>
            </w:r>
          </w:p>
        </w:tc>
        <w:tc>
          <w:tcPr>
            <w:tcW w:w="0" w:type="auto"/>
            <w:vAlign w:val="center"/>
          </w:tcPr>
          <w:p w:rsidR="005D4F50" w:rsidRDefault="002420D6">
            <w:pPr>
              <w:spacing w:beforeAutospacing="1" w:afterAutospacing="1"/>
            </w:pPr>
            <w:r>
              <w:rPr>
                <w:color w:val="000000"/>
                <w:sz w:val="22"/>
              </w:rPr>
              <w:t>77850</w:t>
            </w:r>
          </w:p>
        </w:tc>
        <w:tc>
          <w:tcPr>
            <w:tcW w:w="0" w:type="auto"/>
            <w:vAlign w:val="center"/>
          </w:tcPr>
          <w:p w:rsidR="005D4F50" w:rsidRDefault="002420D6">
            <w:pPr>
              <w:spacing w:beforeAutospacing="1" w:afterAutospacing="1"/>
            </w:pPr>
            <w:r>
              <w:rPr>
                <w:color w:val="000000"/>
                <w:sz w:val="22"/>
              </w:rPr>
              <w:t xml:space="preserve">       111.21%</w:t>
            </w:r>
          </w:p>
        </w:tc>
      </w:tr>
      <w:tr w:rsidR="005D4F50">
        <w:trPr>
          <w:cantSplit/>
        </w:trPr>
        <w:tc>
          <w:tcPr>
            <w:tcW w:w="0" w:type="auto"/>
            <w:vAlign w:val="center"/>
          </w:tcPr>
          <w:p w:rsidR="005D4F50" w:rsidRDefault="002420D6">
            <w:pPr>
              <w:spacing w:beforeAutospacing="1" w:afterAutospacing="1"/>
            </w:pPr>
            <w:r>
              <w:rPr>
                <w:color w:val="000000"/>
                <w:sz w:val="22"/>
              </w:rPr>
              <w:t>Public Infrastructure, Facilities, and Parks</w:t>
            </w:r>
          </w:p>
        </w:tc>
        <w:tc>
          <w:tcPr>
            <w:tcW w:w="0" w:type="auto"/>
            <w:vAlign w:val="center"/>
          </w:tcPr>
          <w:p w:rsidR="005D4F50" w:rsidRDefault="002420D6">
            <w:pPr>
              <w:spacing w:beforeAutospacing="1" w:afterAutospacing="1"/>
            </w:pPr>
            <w:r>
              <w:rPr>
                <w:color w:val="000000"/>
                <w:sz w:val="22"/>
              </w:rPr>
              <w:t>Non-Housing Community Development</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Other</w:t>
            </w:r>
          </w:p>
        </w:tc>
        <w:tc>
          <w:tcPr>
            <w:tcW w:w="0" w:type="auto"/>
            <w:vAlign w:val="center"/>
          </w:tcPr>
          <w:p w:rsidR="005D4F50" w:rsidRDefault="002420D6">
            <w:pPr>
              <w:spacing w:beforeAutospacing="1" w:afterAutospacing="1"/>
            </w:pPr>
            <w:r>
              <w:rPr>
                <w:color w:val="000000"/>
                <w:sz w:val="22"/>
              </w:rPr>
              <w:t>Other</w:t>
            </w:r>
          </w:p>
        </w:tc>
        <w:tc>
          <w:tcPr>
            <w:tcW w:w="0" w:type="auto"/>
            <w:vAlign w:val="center"/>
          </w:tcPr>
          <w:p w:rsidR="005D4F50" w:rsidRDefault="002420D6">
            <w:pPr>
              <w:spacing w:beforeAutospacing="1" w:afterAutospacing="1"/>
            </w:pPr>
            <w:r>
              <w:rPr>
                <w:color w:val="000000"/>
                <w:sz w:val="22"/>
              </w:rPr>
              <w:t>1</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0.00%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Public Services</w:t>
            </w:r>
          </w:p>
        </w:tc>
        <w:tc>
          <w:tcPr>
            <w:tcW w:w="0" w:type="auto"/>
            <w:vAlign w:val="center"/>
          </w:tcPr>
          <w:p w:rsidR="005D4F50" w:rsidRDefault="002420D6">
            <w:pPr>
              <w:spacing w:beforeAutospacing="1" w:afterAutospacing="1"/>
            </w:pPr>
            <w:r>
              <w:rPr>
                <w:color w:val="000000"/>
                <w:sz w:val="22"/>
              </w:rPr>
              <w:t>Homeless</w:t>
            </w:r>
            <w:r>
              <w:rPr>
                <w:color w:val="000000"/>
                <w:sz w:val="22"/>
              </w:rPr>
              <w:br/>
              <w:t>Non-Homeless Special Needs</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Public Facility or Infrastructure Activities other than Low/Moderate Income Housing Benefit</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t>Public Services</w:t>
            </w:r>
          </w:p>
        </w:tc>
        <w:tc>
          <w:tcPr>
            <w:tcW w:w="0" w:type="auto"/>
            <w:vAlign w:val="center"/>
          </w:tcPr>
          <w:p w:rsidR="005D4F50" w:rsidRDefault="002420D6">
            <w:pPr>
              <w:spacing w:beforeAutospacing="1" w:afterAutospacing="1"/>
            </w:pPr>
            <w:r>
              <w:rPr>
                <w:color w:val="000000"/>
                <w:sz w:val="22"/>
              </w:rPr>
              <w:t>Homeless</w:t>
            </w:r>
            <w:r>
              <w:rPr>
                <w:color w:val="000000"/>
                <w:sz w:val="22"/>
              </w:rPr>
              <w:br/>
            </w:r>
            <w:r>
              <w:rPr>
                <w:color w:val="000000"/>
                <w:sz w:val="22"/>
              </w:rPr>
              <w:t>Non-Homeless Special Needs</w:t>
            </w:r>
          </w:p>
        </w:tc>
        <w:tc>
          <w:tcPr>
            <w:tcW w:w="0" w:type="auto"/>
            <w:vAlign w:val="center"/>
          </w:tcPr>
          <w:p w:rsidR="005D4F50" w:rsidRDefault="002420D6">
            <w:pPr>
              <w:spacing w:beforeAutospacing="1" w:afterAutospacing="1"/>
            </w:pPr>
            <w:r>
              <w:rPr>
                <w:color w:val="000000"/>
                <w:sz w:val="22"/>
              </w:rPr>
              <w:t>CDBG: $</w:t>
            </w:r>
          </w:p>
        </w:tc>
        <w:tc>
          <w:tcPr>
            <w:tcW w:w="0" w:type="auto"/>
            <w:vAlign w:val="center"/>
          </w:tcPr>
          <w:p w:rsidR="005D4F50" w:rsidRDefault="002420D6">
            <w:pPr>
              <w:spacing w:beforeAutospacing="1" w:afterAutospacing="1"/>
            </w:pPr>
            <w:r>
              <w:rPr>
                <w:color w:val="000000"/>
                <w:sz w:val="22"/>
              </w:rPr>
              <w:t>Public service activities other than Low/Moderate Income Housing Benefit</w:t>
            </w:r>
          </w:p>
        </w:tc>
        <w:tc>
          <w:tcPr>
            <w:tcW w:w="0" w:type="auto"/>
            <w:vAlign w:val="center"/>
          </w:tcPr>
          <w:p w:rsidR="005D4F50" w:rsidRDefault="002420D6">
            <w:pPr>
              <w:spacing w:beforeAutospacing="1" w:afterAutospacing="1"/>
            </w:pPr>
            <w:r>
              <w:rPr>
                <w:color w:val="000000"/>
                <w:sz w:val="22"/>
              </w:rPr>
              <w:t>Persons Assisted</w:t>
            </w:r>
          </w:p>
        </w:tc>
        <w:tc>
          <w:tcPr>
            <w:tcW w:w="0" w:type="auto"/>
            <w:vAlign w:val="center"/>
          </w:tcPr>
          <w:p w:rsidR="005D4F50" w:rsidRDefault="002420D6">
            <w:pPr>
              <w:spacing w:beforeAutospacing="1" w:afterAutospacing="1"/>
            </w:pPr>
            <w:r>
              <w:rPr>
                <w:color w:val="000000"/>
                <w:sz w:val="22"/>
              </w:rPr>
              <w:t>900</w:t>
            </w:r>
          </w:p>
        </w:tc>
        <w:tc>
          <w:tcPr>
            <w:tcW w:w="0" w:type="auto"/>
            <w:vAlign w:val="center"/>
          </w:tcPr>
          <w:p w:rsidR="005D4F50" w:rsidRDefault="002420D6">
            <w:pPr>
              <w:spacing w:beforeAutospacing="1" w:afterAutospacing="1"/>
            </w:pPr>
            <w:r>
              <w:rPr>
                <w:color w:val="000000"/>
                <w:sz w:val="22"/>
              </w:rPr>
              <w:t>818</w:t>
            </w:r>
          </w:p>
        </w:tc>
        <w:tc>
          <w:tcPr>
            <w:tcW w:w="0" w:type="auto"/>
            <w:vAlign w:val="center"/>
          </w:tcPr>
          <w:p w:rsidR="005D4F50" w:rsidRDefault="002420D6">
            <w:pPr>
              <w:spacing w:beforeAutospacing="1" w:afterAutospacing="1"/>
            </w:pPr>
            <w:r>
              <w:rPr>
                <w:color w:val="000000"/>
                <w:sz w:val="22"/>
              </w:rPr>
              <w:t xml:space="preserve">        90.89%</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r w:rsidR="005D4F50">
        <w:trPr>
          <w:cantSplit/>
        </w:trPr>
        <w:tc>
          <w:tcPr>
            <w:tcW w:w="0" w:type="auto"/>
            <w:vAlign w:val="center"/>
          </w:tcPr>
          <w:p w:rsidR="005D4F50" w:rsidRDefault="002420D6">
            <w:pPr>
              <w:spacing w:beforeAutospacing="1" w:afterAutospacing="1"/>
            </w:pPr>
            <w:r>
              <w:rPr>
                <w:color w:val="000000"/>
                <w:sz w:val="22"/>
              </w:rPr>
              <w:lastRenderedPageBreak/>
              <w:t>Rental Assistance</w:t>
            </w:r>
          </w:p>
        </w:tc>
        <w:tc>
          <w:tcPr>
            <w:tcW w:w="0" w:type="auto"/>
            <w:vAlign w:val="center"/>
          </w:tcPr>
          <w:p w:rsidR="005D4F50" w:rsidRDefault="002420D6">
            <w:pPr>
              <w:spacing w:beforeAutospacing="1" w:afterAutospacing="1"/>
            </w:pPr>
            <w:r>
              <w:rPr>
                <w:color w:val="000000"/>
                <w:sz w:val="22"/>
              </w:rPr>
              <w:t>Homeless</w:t>
            </w:r>
            <w:r>
              <w:rPr>
                <w:color w:val="000000"/>
                <w:sz w:val="22"/>
              </w:rPr>
              <w:br/>
              <w:t>Households impacted by COVID 19</w:t>
            </w:r>
          </w:p>
        </w:tc>
        <w:tc>
          <w:tcPr>
            <w:tcW w:w="0" w:type="auto"/>
            <w:vAlign w:val="center"/>
          </w:tcPr>
          <w:p w:rsidR="005D4F50" w:rsidRDefault="002420D6">
            <w:pPr>
              <w:spacing w:beforeAutospacing="1" w:afterAutospacing="1"/>
            </w:pPr>
            <w:r>
              <w:rPr>
                <w:color w:val="000000"/>
                <w:sz w:val="22"/>
              </w:rPr>
              <w:t>HOME: $</w:t>
            </w:r>
          </w:p>
        </w:tc>
        <w:tc>
          <w:tcPr>
            <w:tcW w:w="0" w:type="auto"/>
            <w:vAlign w:val="center"/>
          </w:tcPr>
          <w:p w:rsidR="005D4F50" w:rsidRDefault="002420D6">
            <w:pPr>
              <w:spacing w:beforeAutospacing="1" w:afterAutospacing="1"/>
            </w:pPr>
            <w:r>
              <w:rPr>
                <w:color w:val="000000"/>
                <w:sz w:val="22"/>
              </w:rPr>
              <w:t>Tenant-based rental assistance / Rapid Rehousing</w:t>
            </w:r>
          </w:p>
        </w:tc>
        <w:tc>
          <w:tcPr>
            <w:tcW w:w="0" w:type="auto"/>
            <w:vAlign w:val="center"/>
          </w:tcPr>
          <w:p w:rsidR="005D4F50" w:rsidRDefault="002420D6">
            <w:pPr>
              <w:spacing w:beforeAutospacing="1" w:afterAutospacing="1"/>
            </w:pPr>
            <w:r>
              <w:rPr>
                <w:color w:val="000000"/>
                <w:sz w:val="22"/>
              </w:rPr>
              <w:t>Households Assisted</w:t>
            </w:r>
          </w:p>
        </w:tc>
        <w:tc>
          <w:tcPr>
            <w:tcW w:w="0" w:type="auto"/>
            <w:vAlign w:val="center"/>
          </w:tcPr>
          <w:p w:rsidR="005D4F50" w:rsidRDefault="002420D6">
            <w:pPr>
              <w:spacing w:beforeAutospacing="1" w:afterAutospacing="1"/>
            </w:pPr>
            <w:r>
              <w:rPr>
                <w:color w:val="000000"/>
                <w:sz w:val="22"/>
              </w:rPr>
              <w:t>50</w:t>
            </w:r>
          </w:p>
        </w:tc>
        <w:tc>
          <w:tcPr>
            <w:tcW w:w="0" w:type="auto"/>
            <w:vAlign w:val="center"/>
          </w:tcPr>
          <w:p w:rsidR="005D4F50" w:rsidRDefault="002420D6">
            <w:pPr>
              <w:spacing w:beforeAutospacing="1" w:afterAutospacing="1"/>
            </w:pPr>
            <w:r>
              <w:rPr>
                <w:color w:val="000000"/>
                <w:sz w:val="22"/>
              </w:rPr>
              <w:t>0</w:t>
            </w:r>
          </w:p>
        </w:tc>
        <w:tc>
          <w:tcPr>
            <w:tcW w:w="0" w:type="auto"/>
            <w:vAlign w:val="center"/>
          </w:tcPr>
          <w:p w:rsidR="005D4F50" w:rsidRDefault="002420D6">
            <w:pPr>
              <w:spacing w:beforeAutospacing="1" w:afterAutospacing="1"/>
            </w:pPr>
            <w:r>
              <w:rPr>
                <w:color w:val="000000"/>
                <w:sz w:val="22"/>
              </w:rPr>
              <w:t xml:space="preserve">         0.00%</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c>
          <w:tcPr>
            <w:tcW w:w="0" w:type="auto"/>
            <w:vAlign w:val="center"/>
          </w:tcPr>
          <w:p w:rsidR="005D4F50" w:rsidRDefault="002420D6">
            <w:pPr>
              <w:spacing w:beforeAutospacing="1" w:afterAutospacing="1"/>
            </w:pPr>
            <w:r>
              <w:rPr>
                <w:color w:val="000000"/>
                <w:sz w:val="22"/>
              </w:rPr>
              <w:t xml:space="preserve"> </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w:t>
      </w:r>
      <w:r>
        <w:rPr>
          <w:rFonts w:asciiTheme="minorHAnsi" w:hAnsiTheme="minorHAnsi"/>
        </w:rPr>
        <w:fldChar w:fldCharType="end"/>
      </w:r>
      <w:r>
        <w:rPr>
          <w:rFonts w:asciiTheme="minorHAnsi" w:hAnsiTheme="minorHAnsi"/>
        </w:rPr>
        <w:t xml:space="preserve"> - Accomplishments – Program Year &amp; Strategic Plan to Date</w:t>
      </w:r>
    </w:p>
    <w:p w:rsidR="005D4F50" w:rsidRDefault="005D4F50"/>
    <w:p w:rsidR="005D4F50" w:rsidRDefault="005D4F50">
      <w:pPr>
        <w:spacing w:after="0" w:line="240" w:lineRule="auto"/>
      </w:pPr>
    </w:p>
    <w:p w:rsidR="005D4F50" w:rsidRDefault="002420D6">
      <w:pPr>
        <w:keepNext/>
        <w:widowControl w:val="0"/>
        <w:rPr>
          <w:b/>
          <w:sz w:val="24"/>
          <w:szCs w:val="24"/>
        </w:rPr>
      </w:pPr>
      <w:r>
        <w:rPr>
          <w:b/>
          <w:sz w:val="24"/>
          <w:szCs w:val="24"/>
        </w:rPr>
        <w:t xml:space="preserve">Assess how the jurisdiction’s use of funds, particularly CDBG, </w:t>
      </w:r>
      <w:r>
        <w:rPr>
          <w:b/>
          <w:sz w:val="24"/>
          <w:szCs w:val="24"/>
        </w:rPr>
        <w:t>addresses the priorities and specific objectives identified in the plan, giving special attention to the highest priority activities identified.</w:t>
      </w:r>
    </w:p>
    <w:p w:rsidR="005D4F50" w:rsidRDefault="002420D6">
      <w:pPr>
        <w:keepNext/>
        <w:widowControl w:val="0"/>
        <w:spacing w:beforeAutospacing="1" w:afterAutospacing="1"/>
      </w:pPr>
      <w:r>
        <w:t>Funds were allocated in alignment with the priorities identified in the consolidated and annual action plan. Th</w:t>
      </w:r>
      <w:r>
        <w:t xml:space="preserve">ese included park and infrastructure improvements, public services, economic development, lead abatement and housing rehabilitation, homeownership and housing development. CDBG or HOME funds were used in these projects to support our efforts to meet HUD’s </w:t>
      </w:r>
      <w:r>
        <w:t>mandate and improve housing accessibility and affordability, and the overall quality of life for the low-to-moderate income residents. Housing development will be counted upon completion of projected construction.</w:t>
      </w:r>
    </w:p>
    <w:p w:rsidR="005D4F50" w:rsidRDefault="005D4F50">
      <w:pPr>
        <w:keepNext/>
        <w:widowControl w:val="0"/>
        <w:spacing w:line="204" w:lineRule="auto"/>
        <w:rPr>
          <w:b/>
          <w:sz w:val="24"/>
          <w:szCs w:val="24"/>
        </w:rPr>
      </w:pPr>
    </w:p>
    <w:p w:rsidR="005D4F50" w:rsidRDefault="005D4F50">
      <w:pPr>
        <w:rPr>
          <w:b/>
          <w:i/>
          <w:sz w:val="26"/>
          <w:szCs w:val="26"/>
        </w:rPr>
        <w:sectPr w:rsidR="005D4F5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5D4F50" w:rsidRDefault="002420D6">
      <w:pPr>
        <w:pStyle w:val="Heading2"/>
        <w:rPr>
          <w:rFonts w:asciiTheme="minorHAnsi" w:hAnsiTheme="minorHAnsi"/>
          <w:i w:val="0"/>
        </w:rPr>
      </w:pPr>
      <w:bookmarkStart w:id="1" w:name="_Toc309810474"/>
      <w:r>
        <w:rPr>
          <w:rFonts w:asciiTheme="minorHAnsi" w:hAnsiTheme="minorHAnsi"/>
          <w:i w:val="0"/>
        </w:rPr>
        <w:lastRenderedPageBreak/>
        <w:t>CR-10 - Racial and Ethnic composition of families assisted</w:t>
      </w:r>
    </w:p>
    <w:p w:rsidR="005D4F50" w:rsidRDefault="002420D6">
      <w:pPr>
        <w:keepNext/>
        <w:widowControl w:val="0"/>
        <w:rPr>
          <w:b/>
          <w:sz w:val="24"/>
          <w:szCs w:val="24"/>
        </w:rPr>
      </w:pPr>
      <w:r>
        <w:rPr>
          <w:b/>
          <w:sz w:val="24"/>
          <w:szCs w:val="24"/>
        </w:rPr>
        <w:t xml:space="preserve">Describe the families assisted (including the racial and ethnic status of families assisted). 91.520(a) </w:t>
      </w:r>
    </w:p>
    <w:p w:rsidR="005D4F50" w:rsidRDefault="005D4F50">
      <w:pPr>
        <w:widowControl w:val="0"/>
        <w:spacing w:after="0" w:line="240" w:lineRule="auto"/>
        <w:rPr>
          <w:b/>
          <w:vanish/>
          <w:sz w:val="24"/>
          <w:szCs w:val="24"/>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keepNext/>
        <w:widowControl w:val="0"/>
        <w:spacing w:after="0" w:line="240" w:lineRule="auto"/>
        <w:rPr>
          <w:b/>
          <w:vanish/>
          <w:sz w:val="24"/>
          <w:szCs w:val="24"/>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pStyle w:val="NoSpacing"/>
        <w:rPr>
          <w:vanish/>
        </w:rPr>
      </w:pPr>
    </w:p>
    <w:p w:rsidR="005D4F50" w:rsidRDefault="005D4F50">
      <w:pPr>
        <w:keepNext/>
        <w:widowControl w:val="0"/>
        <w:rPr>
          <w:rFonts w:asciiTheme="minorHAnsi" w:hAnsiTheme="minorHAnsi"/>
          <w:b/>
          <w:sz w:val="20"/>
          <w:szCs w:val="2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7"/>
        <w:gridCol w:w="4673"/>
      </w:tblGrid>
      <w:tr w:rsidR="005D4F50">
        <w:trPr>
          <w:cantSplit/>
        </w:trPr>
        <w:tc>
          <w:tcPr>
            <w:tcW w:w="5000" w:type="pct"/>
            <w:gridSpan w:val="2"/>
            <w:tcBorders>
              <w:top w:val="nil"/>
              <w:left w:val="nil"/>
              <w:bottom w:val="single" w:sz="4" w:space="0" w:color="auto"/>
              <w:right w:val="nil"/>
            </w:tcBorders>
          </w:tcPr>
          <w:p w:rsidR="005D4F50" w:rsidRDefault="002420D6">
            <w:pPr>
              <w:spacing w:after="0"/>
              <w:rPr>
                <w:b/>
              </w:rPr>
            </w:pPr>
            <w:r>
              <w:rPr>
                <w:b/>
              </w:rPr>
              <w:t>Describe the clients assisted (including the racial and/or ethnicity of clients assisted with ESG)</w:t>
            </w:r>
          </w:p>
        </w:tc>
      </w:tr>
      <w:tr w:rsidR="005D4F50">
        <w:trPr>
          <w:cantSplit/>
          <w:hidden/>
        </w:trPr>
        <w:tc>
          <w:tcPr>
            <w:tcW w:w="2504" w:type="pct"/>
            <w:tcBorders>
              <w:top w:val="single" w:sz="4" w:space="0" w:color="auto"/>
            </w:tcBorders>
          </w:tcPr>
          <w:p w:rsidR="005D4F50" w:rsidRDefault="005D4F50">
            <w:pPr>
              <w:widowControl w:val="0"/>
              <w:spacing w:after="0" w:line="240" w:lineRule="auto"/>
              <w:rPr>
                <w:vanish/>
              </w:rPr>
            </w:pPr>
          </w:p>
        </w:tc>
        <w:tc>
          <w:tcPr>
            <w:tcW w:w="2496" w:type="pct"/>
            <w:tcBorders>
              <w:top w:val="single" w:sz="4" w:space="0" w:color="auto"/>
            </w:tcBorders>
          </w:tcPr>
          <w:p w:rsidR="005D4F50" w:rsidRDefault="002420D6">
            <w:pPr>
              <w:spacing w:after="0"/>
              <w:jc w:val="center"/>
              <w:rPr>
                <w:b/>
              </w:rPr>
            </w:pPr>
            <w:r>
              <w:rPr>
                <w:b/>
              </w:rPr>
              <w:t>HESG</w:t>
            </w:r>
          </w:p>
        </w:tc>
      </w:tr>
      <w:tr w:rsidR="005D4F50">
        <w:trPr>
          <w:cantSplit/>
        </w:trPr>
        <w:tc>
          <w:tcPr>
            <w:tcW w:w="4803" w:type="dxa"/>
            <w:vAlign w:val="bottom"/>
          </w:tcPr>
          <w:p w:rsidR="005D4F50" w:rsidRDefault="002420D6">
            <w:pPr>
              <w:spacing w:beforeAutospacing="1" w:afterAutospacing="1"/>
            </w:pPr>
            <w:r>
              <w:rPr>
                <w:color w:val="000000"/>
              </w:rPr>
              <w:t>American Indian, Alaska Native, or Indigenous</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Asian or Asian American</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Black, African American, or African</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Hispanic/Latina/e/o</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Middle Eastern or North African</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Native Hawaiian or Pacific Islander</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White</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Multiracial</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Client doesn't know</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Client prefers not to answer</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vAlign w:val="bottom"/>
          </w:tcPr>
          <w:p w:rsidR="005D4F50" w:rsidRDefault="002420D6">
            <w:pPr>
              <w:spacing w:beforeAutospacing="1" w:afterAutospacing="1"/>
            </w:pPr>
            <w:r>
              <w:rPr>
                <w:color w:val="000000"/>
              </w:rPr>
              <w:t>Data not collected</w:t>
            </w:r>
          </w:p>
        </w:tc>
        <w:tc>
          <w:tcPr>
            <w:tcW w:w="4787" w:type="dxa"/>
            <w:vAlign w:val="bottom"/>
          </w:tcPr>
          <w:p w:rsidR="005D4F50" w:rsidRDefault="002420D6">
            <w:pPr>
              <w:spacing w:beforeAutospacing="1" w:afterAutospacing="1"/>
              <w:jc w:val="right"/>
            </w:pPr>
            <w:r>
              <w:rPr>
                <w:color w:val="000000"/>
              </w:rPr>
              <w:t>0</w:t>
            </w:r>
          </w:p>
        </w:tc>
      </w:tr>
      <w:tr w:rsidR="005D4F50">
        <w:trPr>
          <w:cantSplit/>
        </w:trPr>
        <w:tc>
          <w:tcPr>
            <w:tcW w:w="4803" w:type="dxa"/>
          </w:tcPr>
          <w:p w:rsidR="005D4F50" w:rsidRDefault="002420D6">
            <w:pPr>
              <w:spacing w:beforeAutospacing="1" w:afterAutospacing="1"/>
            </w:pPr>
            <w:r>
              <w:rPr>
                <w:b/>
                <w:color w:val="000000"/>
              </w:rPr>
              <w:t>Total</w:t>
            </w:r>
          </w:p>
        </w:tc>
        <w:tc>
          <w:tcPr>
            <w:tcW w:w="4787" w:type="dxa"/>
          </w:tcPr>
          <w:p w:rsidR="005D4F50" w:rsidRDefault="002420D6">
            <w:pPr>
              <w:spacing w:beforeAutospacing="1" w:afterAutospacing="1"/>
              <w:jc w:val="right"/>
            </w:pPr>
            <w:r>
              <w:rPr>
                <w:b/>
                <w:color w:val="000000"/>
              </w:rPr>
              <w:t>0</w:t>
            </w:r>
          </w:p>
        </w:tc>
      </w:tr>
    </w:tbl>
    <w:p w:rsidR="005D4F50" w:rsidRDefault="005D4F50">
      <w:pPr>
        <w:keepNext/>
        <w:widowControl w:val="0"/>
        <w:rPr>
          <w:rFonts w:asciiTheme="minorHAnsi" w:hAnsiTheme="minorHAnsi"/>
          <w:b/>
          <w:sz w:val="20"/>
          <w:szCs w:val="20"/>
        </w:rPr>
      </w:pPr>
    </w:p>
    <w:p w:rsidR="005D4F50" w:rsidRDefault="002420D6">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noProof/>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5D4F50" w:rsidRDefault="005D4F50">
      <w:pPr>
        <w:widowControl w:val="0"/>
        <w:rPr>
          <w:b/>
          <w:sz w:val="24"/>
          <w:szCs w:val="24"/>
        </w:rPr>
      </w:pPr>
    </w:p>
    <w:p w:rsidR="005D4F50" w:rsidRDefault="002420D6">
      <w:pPr>
        <w:widowControl w:val="0"/>
        <w:rPr>
          <w:b/>
          <w:sz w:val="24"/>
          <w:szCs w:val="24"/>
        </w:rPr>
      </w:pPr>
      <w:r>
        <w:rPr>
          <w:b/>
          <w:sz w:val="24"/>
          <w:szCs w:val="24"/>
        </w:rPr>
        <w:t>Narrative</w:t>
      </w:r>
    </w:p>
    <w:p w:rsidR="005D4F50" w:rsidRDefault="002420D6">
      <w:pPr>
        <w:widowControl w:val="0"/>
        <w:spacing w:beforeAutospacing="1" w:afterAutospacing="1"/>
      </w:pPr>
      <w:r>
        <w:t>The majority of our program participants identify as "other multi-racial," and that category does not appear on the first chart.  This results in the under-reporting of our program participants under the Race category under both the CDBG and the HOME progr</w:t>
      </w:r>
      <w:r>
        <w:t>am. Under CDBG, 43 of the clients in the program year selected other multi-racial. Under Home, 13 clients selected other multi-racial.  Four listed under HOME are down-payment assistance and 9 are rental housing development. </w:t>
      </w:r>
    </w:p>
    <w:p w:rsidR="005D4F50" w:rsidRDefault="005D4F50">
      <w:pPr>
        <w:widowControl w:val="0"/>
      </w:pPr>
    </w:p>
    <w:p w:rsidR="005D4F50" w:rsidRDefault="005D4F50">
      <w:pPr>
        <w:sectPr w:rsidR="005D4F50">
          <w:pgSz w:w="12240" w:h="15840" w:code="1"/>
          <w:pgMar w:top="1440" w:right="1440" w:bottom="1440" w:left="1440" w:header="720" w:footer="720" w:gutter="0"/>
          <w:cols w:space="720"/>
          <w:docGrid w:linePitch="360"/>
        </w:sectPr>
      </w:pPr>
    </w:p>
    <w:bookmarkEnd w:id="1"/>
    <w:p w:rsidR="005D4F50" w:rsidRDefault="002420D6">
      <w:pPr>
        <w:pStyle w:val="Heading2"/>
        <w:rPr>
          <w:rFonts w:ascii="Calibri" w:hAnsi="Calibri"/>
          <w:i w:val="0"/>
        </w:rPr>
      </w:pPr>
      <w:r>
        <w:rPr>
          <w:rFonts w:ascii="Calibri" w:hAnsi="Calibri"/>
          <w:i w:val="0"/>
        </w:rPr>
        <w:lastRenderedPageBreak/>
        <w:t>CR-15 - Resources and I</w:t>
      </w:r>
      <w:r>
        <w:rPr>
          <w:rFonts w:ascii="Calibri" w:hAnsi="Calibri"/>
          <w:i w:val="0"/>
        </w:rPr>
        <w:t>nvestments 91.520(a)</w:t>
      </w:r>
    </w:p>
    <w:p w:rsidR="005D4F50" w:rsidRDefault="002420D6">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331"/>
        <w:gridCol w:w="2343"/>
        <w:gridCol w:w="2342"/>
      </w:tblGrid>
      <w:tr w:rsidR="005D4F50">
        <w:trPr>
          <w:cantSplit/>
        </w:trPr>
        <w:tc>
          <w:tcPr>
            <w:tcW w:w="2394" w:type="dxa"/>
          </w:tcPr>
          <w:p w:rsidR="005D4F50" w:rsidRDefault="002420D6">
            <w:pPr>
              <w:keepNext/>
              <w:widowControl w:val="0"/>
              <w:spacing w:after="0" w:line="240" w:lineRule="auto"/>
              <w:jc w:val="center"/>
              <w:rPr>
                <w:rFonts w:cs="Arial"/>
                <w:b/>
              </w:rPr>
            </w:pPr>
            <w:r>
              <w:rPr>
                <w:rFonts w:cs="Arial"/>
                <w:b/>
              </w:rPr>
              <w:t>Source of Funds</w:t>
            </w:r>
          </w:p>
        </w:tc>
        <w:tc>
          <w:tcPr>
            <w:tcW w:w="2394" w:type="dxa"/>
          </w:tcPr>
          <w:p w:rsidR="005D4F50" w:rsidRDefault="002420D6">
            <w:pPr>
              <w:keepNext/>
              <w:widowControl w:val="0"/>
              <w:spacing w:after="0" w:line="240" w:lineRule="auto"/>
              <w:jc w:val="center"/>
              <w:rPr>
                <w:rFonts w:cs="Arial"/>
                <w:b/>
              </w:rPr>
            </w:pPr>
            <w:r>
              <w:rPr>
                <w:rFonts w:cs="Arial"/>
                <w:b/>
              </w:rPr>
              <w:t>Source</w:t>
            </w:r>
          </w:p>
        </w:tc>
        <w:tc>
          <w:tcPr>
            <w:tcW w:w="2394" w:type="dxa"/>
          </w:tcPr>
          <w:p w:rsidR="005D4F50" w:rsidRDefault="002420D6">
            <w:pPr>
              <w:keepNext/>
              <w:spacing w:after="0" w:line="240" w:lineRule="auto"/>
              <w:jc w:val="center"/>
              <w:rPr>
                <w:rFonts w:cs="Arial"/>
                <w:b/>
              </w:rPr>
            </w:pPr>
            <w:r>
              <w:rPr>
                <w:rFonts w:cs="Arial"/>
                <w:b/>
              </w:rPr>
              <w:t>Resources Made Available</w:t>
            </w:r>
          </w:p>
        </w:tc>
        <w:tc>
          <w:tcPr>
            <w:tcW w:w="2394" w:type="dxa"/>
          </w:tcPr>
          <w:p w:rsidR="005D4F50" w:rsidRDefault="002420D6">
            <w:pPr>
              <w:keepNext/>
              <w:widowControl w:val="0"/>
              <w:spacing w:after="0" w:line="240" w:lineRule="auto"/>
              <w:jc w:val="center"/>
              <w:rPr>
                <w:rFonts w:cs="Arial"/>
                <w:b/>
              </w:rPr>
            </w:pPr>
            <w:r>
              <w:rPr>
                <w:rFonts w:cs="Arial"/>
                <w:b/>
              </w:rPr>
              <w:t>Amount Expended During Program Year</w:t>
            </w:r>
          </w:p>
        </w:tc>
      </w:tr>
      <w:tr w:rsidR="005D4F50">
        <w:trPr>
          <w:cantSplit/>
        </w:trPr>
        <w:tc>
          <w:tcPr>
            <w:tcW w:w="0" w:type="auto"/>
            <w:vAlign w:val="bottom"/>
          </w:tcPr>
          <w:p w:rsidR="005D4F50" w:rsidRDefault="002420D6">
            <w:pPr>
              <w:spacing w:beforeAutospacing="1" w:afterAutospacing="1"/>
            </w:pPr>
            <w:r>
              <w:rPr>
                <w:color w:val="000000"/>
              </w:rPr>
              <w:t>CDBG</w:t>
            </w:r>
          </w:p>
        </w:tc>
        <w:tc>
          <w:tcPr>
            <w:tcW w:w="0" w:type="auto"/>
            <w:vAlign w:val="bottom"/>
          </w:tcPr>
          <w:p w:rsidR="005D4F50" w:rsidRDefault="002420D6">
            <w:pPr>
              <w:spacing w:beforeAutospacing="1" w:afterAutospacing="1"/>
            </w:pPr>
            <w:r>
              <w:rPr>
                <w:color w:val="000000"/>
              </w:rPr>
              <w:t>public - federal</w:t>
            </w:r>
          </w:p>
        </w:tc>
        <w:tc>
          <w:tcPr>
            <w:tcW w:w="0" w:type="auto"/>
            <w:vAlign w:val="bottom"/>
          </w:tcPr>
          <w:p w:rsidR="005D4F50" w:rsidRDefault="002420D6">
            <w:pPr>
              <w:spacing w:beforeAutospacing="1" w:afterAutospacing="1"/>
              <w:jc w:val="right"/>
            </w:pPr>
            <w:r>
              <w:rPr>
                <w:color w:val="000000"/>
              </w:rPr>
              <w:t>2,458,794</w:t>
            </w:r>
          </w:p>
        </w:tc>
        <w:tc>
          <w:tcPr>
            <w:tcW w:w="0" w:type="auto"/>
            <w:vAlign w:val="bottom"/>
          </w:tcPr>
          <w:p w:rsidR="005D4F50" w:rsidRDefault="002420D6">
            <w:pPr>
              <w:spacing w:beforeAutospacing="1" w:afterAutospacing="1"/>
              <w:jc w:val="right"/>
            </w:pPr>
            <w:r>
              <w:rPr>
                <w:color w:val="000000"/>
              </w:rPr>
              <w:t>1,197,833</w:t>
            </w:r>
          </w:p>
        </w:tc>
      </w:tr>
      <w:tr w:rsidR="005D4F50">
        <w:trPr>
          <w:cantSplit/>
        </w:trPr>
        <w:tc>
          <w:tcPr>
            <w:tcW w:w="0" w:type="auto"/>
            <w:vAlign w:val="bottom"/>
          </w:tcPr>
          <w:p w:rsidR="005D4F50" w:rsidRDefault="002420D6">
            <w:pPr>
              <w:spacing w:beforeAutospacing="1" w:afterAutospacing="1"/>
            </w:pPr>
            <w:r>
              <w:rPr>
                <w:color w:val="000000"/>
              </w:rPr>
              <w:t>HOME</w:t>
            </w:r>
          </w:p>
        </w:tc>
        <w:tc>
          <w:tcPr>
            <w:tcW w:w="0" w:type="auto"/>
            <w:vAlign w:val="bottom"/>
          </w:tcPr>
          <w:p w:rsidR="005D4F50" w:rsidRDefault="002420D6">
            <w:pPr>
              <w:spacing w:beforeAutospacing="1" w:afterAutospacing="1"/>
            </w:pPr>
            <w:r>
              <w:rPr>
                <w:color w:val="000000"/>
              </w:rPr>
              <w:t>public - federal</w:t>
            </w:r>
          </w:p>
        </w:tc>
        <w:tc>
          <w:tcPr>
            <w:tcW w:w="0" w:type="auto"/>
            <w:vAlign w:val="bottom"/>
          </w:tcPr>
          <w:p w:rsidR="005D4F50" w:rsidRDefault="002420D6">
            <w:pPr>
              <w:spacing w:beforeAutospacing="1" w:afterAutospacing="1"/>
              <w:jc w:val="right"/>
            </w:pPr>
            <w:r>
              <w:rPr>
                <w:color w:val="000000"/>
              </w:rPr>
              <w:t>1,744,213</w:t>
            </w:r>
          </w:p>
        </w:tc>
        <w:tc>
          <w:tcPr>
            <w:tcW w:w="0" w:type="auto"/>
            <w:vAlign w:val="bottom"/>
          </w:tcPr>
          <w:p w:rsidR="005D4F50" w:rsidRDefault="002420D6">
            <w:pPr>
              <w:spacing w:beforeAutospacing="1" w:afterAutospacing="1"/>
              <w:jc w:val="right"/>
            </w:pPr>
            <w:r>
              <w:rPr>
                <w:color w:val="000000"/>
              </w:rPr>
              <w:t>149,499</w:t>
            </w:r>
          </w:p>
        </w:tc>
      </w:tr>
      <w:tr w:rsidR="005D4F50">
        <w:trPr>
          <w:cantSplit/>
        </w:trPr>
        <w:tc>
          <w:tcPr>
            <w:tcW w:w="0" w:type="auto"/>
            <w:vAlign w:val="bottom"/>
          </w:tcPr>
          <w:p w:rsidR="005D4F50" w:rsidRDefault="002420D6">
            <w:pPr>
              <w:spacing w:beforeAutospacing="1" w:afterAutospacing="1"/>
            </w:pPr>
            <w:r>
              <w:rPr>
                <w:color w:val="000000"/>
              </w:rPr>
              <w:t>HOPWA</w:t>
            </w:r>
          </w:p>
        </w:tc>
        <w:tc>
          <w:tcPr>
            <w:tcW w:w="0" w:type="auto"/>
            <w:vAlign w:val="bottom"/>
          </w:tcPr>
          <w:p w:rsidR="005D4F50" w:rsidRDefault="002420D6">
            <w:pPr>
              <w:spacing w:beforeAutospacing="1" w:afterAutospacing="1"/>
            </w:pPr>
            <w:r>
              <w:rPr>
                <w:color w:val="000000"/>
              </w:rPr>
              <w:t>public - federal</w:t>
            </w:r>
          </w:p>
        </w:tc>
        <w:tc>
          <w:tcPr>
            <w:tcW w:w="0" w:type="auto"/>
            <w:vAlign w:val="bottom"/>
          </w:tcPr>
          <w:p w:rsidR="005D4F50" w:rsidRDefault="002420D6">
            <w:pPr>
              <w:spacing w:beforeAutospacing="1" w:afterAutospacing="1"/>
              <w:jc w:val="right"/>
            </w:pPr>
            <w:r>
              <w:rPr>
                <w:color w:val="000000"/>
              </w:rPr>
              <w:t>0</w:t>
            </w:r>
          </w:p>
        </w:tc>
        <w:tc>
          <w:tcPr>
            <w:tcW w:w="0" w:type="auto"/>
            <w:vAlign w:val="bottom"/>
          </w:tcPr>
          <w:p w:rsidR="005D4F50" w:rsidRDefault="002420D6">
            <w:pPr>
              <w:spacing w:beforeAutospacing="1" w:afterAutospacing="1"/>
              <w:jc w:val="right"/>
            </w:pPr>
            <w:r>
              <w:rPr>
                <w:color w:val="000000"/>
              </w:rPr>
              <w:t>0</w:t>
            </w:r>
          </w:p>
        </w:tc>
      </w:tr>
      <w:tr w:rsidR="005D4F50">
        <w:trPr>
          <w:cantSplit/>
        </w:trPr>
        <w:tc>
          <w:tcPr>
            <w:tcW w:w="0" w:type="auto"/>
            <w:vAlign w:val="bottom"/>
          </w:tcPr>
          <w:p w:rsidR="005D4F50" w:rsidRDefault="002420D6">
            <w:pPr>
              <w:spacing w:beforeAutospacing="1" w:afterAutospacing="1"/>
            </w:pPr>
            <w:r>
              <w:rPr>
                <w:color w:val="000000"/>
              </w:rPr>
              <w:t>ESG</w:t>
            </w:r>
          </w:p>
        </w:tc>
        <w:tc>
          <w:tcPr>
            <w:tcW w:w="0" w:type="auto"/>
            <w:vAlign w:val="bottom"/>
          </w:tcPr>
          <w:p w:rsidR="005D4F50" w:rsidRDefault="002420D6">
            <w:pPr>
              <w:spacing w:beforeAutospacing="1" w:afterAutospacing="1"/>
            </w:pPr>
            <w:r>
              <w:rPr>
                <w:color w:val="000000"/>
              </w:rPr>
              <w:t>public - federal</w:t>
            </w:r>
          </w:p>
        </w:tc>
        <w:tc>
          <w:tcPr>
            <w:tcW w:w="0" w:type="auto"/>
            <w:vAlign w:val="bottom"/>
          </w:tcPr>
          <w:p w:rsidR="005D4F50" w:rsidRDefault="002420D6">
            <w:pPr>
              <w:spacing w:beforeAutospacing="1" w:afterAutospacing="1"/>
              <w:jc w:val="right"/>
            </w:pPr>
            <w:r>
              <w:rPr>
                <w:color w:val="000000"/>
              </w:rPr>
              <w:t>0</w:t>
            </w:r>
          </w:p>
        </w:tc>
        <w:tc>
          <w:tcPr>
            <w:tcW w:w="0" w:type="auto"/>
            <w:vAlign w:val="bottom"/>
          </w:tcPr>
          <w:p w:rsidR="005D4F50" w:rsidRDefault="002420D6">
            <w:pPr>
              <w:spacing w:beforeAutospacing="1" w:afterAutospacing="1"/>
              <w:jc w:val="right"/>
            </w:pPr>
            <w:r>
              <w:rPr>
                <w:color w:val="000000"/>
              </w:rPr>
              <w:t>0</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3</w:t>
      </w:r>
      <w:r>
        <w:rPr>
          <w:rFonts w:asciiTheme="minorHAnsi" w:hAnsiTheme="minorHAnsi"/>
        </w:rPr>
        <w:fldChar w:fldCharType="end"/>
      </w:r>
      <w:r>
        <w:rPr>
          <w:rFonts w:asciiTheme="minorHAnsi" w:hAnsiTheme="minorHAnsi"/>
        </w:rPr>
        <w:t xml:space="preserve"> - Resources Made Available</w:t>
      </w:r>
    </w:p>
    <w:p w:rsidR="005D4F50" w:rsidRDefault="005D4F50">
      <w:pPr>
        <w:spacing w:after="0" w:line="240" w:lineRule="auto"/>
        <w:rPr>
          <w:b/>
          <w:sz w:val="24"/>
          <w:szCs w:val="24"/>
        </w:rPr>
      </w:pPr>
    </w:p>
    <w:p w:rsidR="005D4F50" w:rsidRDefault="002420D6">
      <w:pPr>
        <w:spacing w:after="0" w:line="240" w:lineRule="auto"/>
        <w:rPr>
          <w:b/>
          <w:sz w:val="24"/>
          <w:szCs w:val="24"/>
        </w:rPr>
      </w:pPr>
      <w:r>
        <w:rPr>
          <w:b/>
          <w:sz w:val="24"/>
          <w:szCs w:val="24"/>
        </w:rPr>
        <w:t>Narrative</w:t>
      </w:r>
    </w:p>
    <w:p w:rsidR="005D4F50" w:rsidRDefault="005D4F50">
      <w:pPr>
        <w:spacing w:after="0" w:line="240" w:lineRule="auto"/>
        <w:rPr>
          <w:rFonts w:cs="Arial"/>
        </w:rPr>
      </w:pPr>
    </w:p>
    <w:p w:rsidR="005D4F50" w:rsidRDefault="005D4F50">
      <w:pPr>
        <w:spacing w:after="0" w:line="240" w:lineRule="auto"/>
        <w:rPr>
          <w:b/>
          <w:sz w:val="24"/>
          <w:szCs w:val="24"/>
        </w:rPr>
      </w:pPr>
    </w:p>
    <w:p w:rsidR="005D4F50" w:rsidRDefault="002420D6">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42"/>
        <w:gridCol w:w="2342"/>
        <w:gridCol w:w="2343"/>
      </w:tblGrid>
      <w:tr w:rsidR="005D4F50">
        <w:trPr>
          <w:cantSplit/>
        </w:trPr>
        <w:tc>
          <w:tcPr>
            <w:tcW w:w="2394" w:type="dxa"/>
          </w:tcPr>
          <w:p w:rsidR="005D4F50" w:rsidRDefault="002420D6">
            <w:pPr>
              <w:keepNext/>
              <w:widowControl w:val="0"/>
              <w:spacing w:after="0" w:line="240" w:lineRule="auto"/>
              <w:jc w:val="center"/>
              <w:rPr>
                <w:rFonts w:cs="Arial"/>
                <w:b/>
              </w:rPr>
            </w:pPr>
            <w:r>
              <w:rPr>
                <w:rFonts w:cs="Arial"/>
                <w:b/>
              </w:rPr>
              <w:t>Target Area</w:t>
            </w:r>
          </w:p>
        </w:tc>
        <w:tc>
          <w:tcPr>
            <w:tcW w:w="2394" w:type="dxa"/>
          </w:tcPr>
          <w:p w:rsidR="005D4F50" w:rsidRDefault="002420D6">
            <w:pPr>
              <w:keepNext/>
              <w:widowControl w:val="0"/>
              <w:spacing w:after="0" w:line="240" w:lineRule="auto"/>
              <w:jc w:val="center"/>
              <w:rPr>
                <w:rFonts w:cs="Arial"/>
                <w:b/>
              </w:rPr>
            </w:pPr>
            <w:r>
              <w:rPr>
                <w:rFonts w:cs="Arial"/>
                <w:b/>
              </w:rPr>
              <w:t>Planned Percentage of Allocation</w:t>
            </w:r>
          </w:p>
        </w:tc>
        <w:tc>
          <w:tcPr>
            <w:tcW w:w="2394" w:type="dxa"/>
          </w:tcPr>
          <w:p w:rsidR="005D4F50" w:rsidRDefault="002420D6">
            <w:pPr>
              <w:keepNext/>
              <w:spacing w:after="0" w:line="240" w:lineRule="auto"/>
              <w:jc w:val="center"/>
              <w:rPr>
                <w:rFonts w:cs="Arial"/>
                <w:b/>
              </w:rPr>
            </w:pPr>
            <w:r>
              <w:rPr>
                <w:rFonts w:cs="Arial"/>
                <w:b/>
              </w:rPr>
              <w:t>Actual Percentage of Allocation</w:t>
            </w:r>
          </w:p>
        </w:tc>
        <w:tc>
          <w:tcPr>
            <w:tcW w:w="2394" w:type="dxa"/>
          </w:tcPr>
          <w:p w:rsidR="005D4F50" w:rsidRDefault="002420D6">
            <w:pPr>
              <w:keepNext/>
              <w:widowControl w:val="0"/>
              <w:spacing w:after="0" w:line="240" w:lineRule="auto"/>
              <w:jc w:val="center"/>
              <w:rPr>
                <w:rFonts w:cs="Arial"/>
                <w:b/>
              </w:rPr>
            </w:pPr>
            <w:r>
              <w:rPr>
                <w:rFonts w:cs="Arial"/>
                <w:b/>
              </w:rPr>
              <w:t xml:space="preserve">Narrative </w:t>
            </w:r>
            <w:r>
              <w:rPr>
                <w:rFonts w:cs="Arial"/>
                <w:b/>
              </w:rPr>
              <w:t>Description</w:t>
            </w:r>
          </w:p>
        </w:tc>
      </w:tr>
      <w:tr w:rsidR="005D4F50">
        <w:trPr>
          <w:cantSplit/>
        </w:trPr>
        <w:tc>
          <w:tcPr>
            <w:tcW w:w="2394" w:type="dxa"/>
          </w:tcPr>
          <w:p w:rsidR="005D4F50" w:rsidRDefault="005D4F50">
            <w:pPr>
              <w:keepNext/>
              <w:widowControl w:val="0"/>
              <w:spacing w:after="0" w:line="240" w:lineRule="auto"/>
              <w:rPr>
                <w:rFonts w:cs="Arial"/>
              </w:rPr>
            </w:pPr>
          </w:p>
        </w:tc>
        <w:tc>
          <w:tcPr>
            <w:tcW w:w="2394" w:type="dxa"/>
          </w:tcPr>
          <w:p w:rsidR="005D4F50" w:rsidRDefault="005D4F50">
            <w:pPr>
              <w:keepNext/>
              <w:widowControl w:val="0"/>
              <w:spacing w:after="0" w:line="240" w:lineRule="auto"/>
              <w:rPr>
                <w:rFonts w:cs="Arial"/>
              </w:rPr>
            </w:pPr>
          </w:p>
        </w:tc>
        <w:tc>
          <w:tcPr>
            <w:tcW w:w="2394" w:type="dxa"/>
          </w:tcPr>
          <w:p w:rsidR="005D4F50" w:rsidRDefault="005D4F50">
            <w:pPr>
              <w:keepNext/>
              <w:widowControl w:val="0"/>
              <w:spacing w:after="0" w:line="240" w:lineRule="auto"/>
              <w:rPr>
                <w:rFonts w:cs="Arial"/>
              </w:rPr>
            </w:pPr>
          </w:p>
        </w:tc>
        <w:tc>
          <w:tcPr>
            <w:tcW w:w="2394" w:type="dxa"/>
          </w:tcPr>
          <w:p w:rsidR="005D4F50" w:rsidRDefault="005D4F50">
            <w:pPr>
              <w:keepNext/>
              <w:widowControl w:val="0"/>
              <w:spacing w:after="0" w:line="240" w:lineRule="auto"/>
              <w:rPr>
                <w:rFonts w:cs="Arial"/>
              </w:rPr>
            </w:pP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4</w:t>
      </w:r>
      <w:r>
        <w:rPr>
          <w:rFonts w:asciiTheme="minorHAnsi" w:hAnsiTheme="minorHAnsi"/>
        </w:rPr>
        <w:fldChar w:fldCharType="end"/>
      </w:r>
      <w:r>
        <w:rPr>
          <w:rFonts w:asciiTheme="minorHAnsi" w:hAnsiTheme="minorHAnsi"/>
        </w:rPr>
        <w:t xml:space="preserve"> – Identify the geographic distribution and location of investments</w:t>
      </w:r>
    </w:p>
    <w:p w:rsidR="005D4F50" w:rsidRDefault="005D4F50">
      <w:pPr>
        <w:keepNext/>
        <w:widowControl w:val="0"/>
        <w:spacing w:line="204" w:lineRule="auto"/>
        <w:rPr>
          <w:b/>
          <w:sz w:val="24"/>
          <w:szCs w:val="24"/>
        </w:rPr>
      </w:pPr>
    </w:p>
    <w:p w:rsidR="005D4F50" w:rsidRDefault="002420D6">
      <w:pPr>
        <w:widowControl w:val="0"/>
        <w:spacing w:line="204" w:lineRule="auto"/>
        <w:rPr>
          <w:b/>
          <w:sz w:val="24"/>
          <w:szCs w:val="24"/>
        </w:rPr>
      </w:pPr>
      <w:r>
        <w:rPr>
          <w:b/>
          <w:sz w:val="24"/>
          <w:szCs w:val="24"/>
        </w:rPr>
        <w:t>Narrative</w:t>
      </w:r>
    </w:p>
    <w:p w:rsidR="005D4F50" w:rsidRDefault="002420D6">
      <w:pPr>
        <w:widowControl w:val="0"/>
        <w:spacing w:beforeAutospacing="1" w:afterAutospacing="1"/>
        <w:rPr>
          <w:rFonts w:cs="Arial"/>
        </w:rPr>
      </w:pPr>
      <w:r>
        <w:rPr>
          <w:rFonts w:cs="Arial"/>
        </w:rPr>
        <w:t>The allocation of CDBG resources is targeted to best meet the priority needs of low and moderate income persons based on a variety of planning studies and community input in the preceding years.</w:t>
      </w:r>
    </w:p>
    <w:p w:rsidR="005D4F50" w:rsidRDefault="002420D6">
      <w:pPr>
        <w:widowControl w:val="0"/>
        <w:spacing w:beforeAutospacing="1" w:afterAutospacing="1"/>
        <w:rPr>
          <w:rFonts w:cs="Arial"/>
        </w:rPr>
      </w:pPr>
      <w:r>
        <w:rPr>
          <w:rFonts w:cs="Arial"/>
        </w:rPr>
        <w:t xml:space="preserve">As stated in the Consolidated Plan and one-year Action Plan, </w:t>
      </w:r>
      <w:r>
        <w:rPr>
          <w:rFonts w:cs="Arial"/>
        </w:rPr>
        <w:t>there are no targeted areas. All LMI areas of the City, and LMI households in the one non-LMI Census Tract, benefit from CDBG and HOME funds. For park improvement projects we use the most recently state approved Open Space and Recreation Plan (OSRP) mandat</w:t>
      </w:r>
      <w:r>
        <w:rPr>
          <w:rFonts w:cs="Arial"/>
        </w:rPr>
        <w:t>ed by the Commonwealth. The most recently developed OSRP covers the period of 2017—2024. For our housing programs we emphasize neighborhood revitalization in our review of projects. Our support of the HUD-funded Lead Program with CDBG is based on LMI house</w:t>
      </w:r>
      <w:r>
        <w:rPr>
          <w:rFonts w:cs="Arial"/>
        </w:rPr>
        <w:t>holds with children under 6 in the household and the presence of lead.</w:t>
      </w:r>
    </w:p>
    <w:p w:rsidR="005D4F50" w:rsidRDefault="002420D6">
      <w:pPr>
        <w:pageBreakBefore/>
        <w:widowControl w:val="0"/>
        <w:spacing w:line="240" w:lineRule="auto"/>
        <w:rPr>
          <w:b/>
          <w:sz w:val="24"/>
          <w:szCs w:val="24"/>
        </w:rPr>
      </w:pPr>
      <w:r>
        <w:rPr>
          <w:b/>
          <w:sz w:val="24"/>
          <w:szCs w:val="24"/>
        </w:rPr>
        <w:lastRenderedPageBreak/>
        <w:t>Leveraging</w:t>
      </w:r>
    </w:p>
    <w:p w:rsidR="005D4F50" w:rsidRDefault="002420D6">
      <w:pPr>
        <w:widowControl w:val="0"/>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t>
      </w:r>
      <w:r>
        <w:rPr>
          <w:b/>
          <w:sz w:val="24"/>
          <w:szCs w:val="24"/>
        </w:rPr>
        <w:t>w any publicly owned land or property located within the jurisdiction that were used to address the needs identified in the plan.</w:t>
      </w:r>
    </w:p>
    <w:p w:rsidR="005D4F50" w:rsidRDefault="002420D6">
      <w:pPr>
        <w:widowControl w:val="0"/>
        <w:numPr>
          <w:ilvl w:val="0"/>
          <w:numId w:val="3"/>
        </w:numPr>
        <w:spacing w:beforeAutospacing="1" w:afterAutospacing="1"/>
        <w:rPr>
          <w:sz w:val="24"/>
          <w:szCs w:val="24"/>
        </w:rPr>
      </w:pPr>
      <w:r>
        <w:rPr>
          <w:sz w:val="24"/>
          <w:szCs w:val="24"/>
        </w:rPr>
        <w:t>$10,000 in CDBG leveraged $242,541 in McKinney-Vento homeless grant for leased scattered site housing. Our CDBG dollars go tow</w:t>
      </w:r>
      <w:r>
        <w:rPr>
          <w:sz w:val="24"/>
          <w:szCs w:val="24"/>
        </w:rPr>
        <w:t>ard case management.</w:t>
      </w:r>
    </w:p>
    <w:p w:rsidR="005D4F50" w:rsidRDefault="002420D6">
      <w:pPr>
        <w:widowControl w:val="0"/>
        <w:numPr>
          <w:ilvl w:val="0"/>
          <w:numId w:val="3"/>
        </w:numPr>
        <w:spacing w:beforeAutospacing="1" w:afterAutospacing="1"/>
        <w:rPr>
          <w:sz w:val="24"/>
          <w:szCs w:val="24"/>
        </w:rPr>
      </w:pPr>
      <w:r>
        <w:rPr>
          <w:sz w:val="24"/>
          <w:szCs w:val="24"/>
        </w:rPr>
        <w:t>$154,000 in HOME funds leveraged $9,04,550 in mortgages for 4 moderate -income families served through our First-time Homebuyer’s Program.</w:t>
      </w:r>
    </w:p>
    <w:p w:rsidR="005D4F50" w:rsidRDefault="002420D6">
      <w:pPr>
        <w:widowControl w:val="0"/>
        <w:numPr>
          <w:ilvl w:val="0"/>
          <w:numId w:val="3"/>
        </w:numPr>
        <w:spacing w:beforeAutospacing="1" w:afterAutospacing="1"/>
        <w:rPr>
          <w:sz w:val="24"/>
          <w:szCs w:val="24"/>
        </w:rPr>
      </w:pPr>
      <w:r>
        <w:rPr>
          <w:sz w:val="24"/>
          <w:szCs w:val="24"/>
        </w:rPr>
        <w:t>$1,655,872 in HOME funds leveraged $99,394664.53 in public and private funds to create 126 units of rental housing. Eighty-two are &lt;60% AMI and twenty-seven are 0-30% AMI. Seventeen are market rate. Twenty-two units are HOME units. </w:t>
      </w:r>
    </w:p>
    <w:p w:rsidR="005D4F50" w:rsidRDefault="002420D6">
      <w:pPr>
        <w:widowControl w:val="0"/>
        <w:numPr>
          <w:ilvl w:val="0"/>
          <w:numId w:val="3"/>
        </w:numPr>
        <w:spacing w:beforeAutospacing="1" w:afterAutospacing="1"/>
        <w:rPr>
          <w:sz w:val="24"/>
          <w:szCs w:val="24"/>
        </w:rPr>
      </w:pPr>
      <w:r>
        <w:rPr>
          <w:sz w:val="24"/>
          <w:szCs w:val="24"/>
        </w:rPr>
        <w:t>Per the PR-33 report, t</w:t>
      </w:r>
      <w:r>
        <w:rPr>
          <w:sz w:val="24"/>
          <w:szCs w:val="24"/>
        </w:rPr>
        <w:t>he City has no match liability for the Program Year.</w:t>
      </w:r>
    </w:p>
    <w:p w:rsidR="005D4F50" w:rsidRDefault="002420D6">
      <w:pPr>
        <w:widowControl w:val="0"/>
        <w:numPr>
          <w:ilvl w:val="0"/>
          <w:numId w:val="3"/>
        </w:numPr>
        <w:spacing w:beforeAutospacing="1" w:afterAutospacing="1"/>
        <w:rPr>
          <w:sz w:val="24"/>
          <w:szCs w:val="24"/>
        </w:rPr>
      </w:pPr>
      <w:r>
        <w:rPr>
          <w:sz w:val="24"/>
          <w:szCs w:val="24"/>
        </w:rPr>
        <w:t>During the Program Year, no publicly owned land was sold.</w:t>
      </w:r>
    </w:p>
    <w:p w:rsidR="005D4F50" w:rsidRDefault="005D4F50">
      <w:pPr>
        <w:widowControl w:val="0"/>
        <w:spacing w:after="0" w:line="240" w:lineRule="auto"/>
        <w:rPr>
          <w:sz w:val="24"/>
          <w:szCs w:val="24"/>
        </w:rPr>
      </w:pPr>
    </w:p>
    <w:p w:rsidR="005D4F50" w:rsidRDefault="005D4F50">
      <w:pPr>
        <w:spacing w:after="0" w:line="240" w:lineRule="auto"/>
        <w:rPr>
          <w:b/>
        </w:rPr>
      </w:pPr>
    </w:p>
    <w:p w:rsidR="005D4F50" w:rsidRDefault="005D4F50">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3"/>
        <w:gridCol w:w="427"/>
      </w:tblGrid>
      <w:tr w:rsidR="005D4F50">
        <w:trPr>
          <w:cantSplit/>
          <w:tblHeader/>
        </w:trPr>
        <w:tc>
          <w:tcPr>
            <w:tcW w:w="9576" w:type="dxa"/>
            <w:gridSpan w:val="2"/>
          </w:tcPr>
          <w:p w:rsidR="005D4F50" w:rsidRDefault="002420D6">
            <w:pPr>
              <w:keepNext/>
              <w:widowControl w:val="0"/>
              <w:spacing w:after="0" w:line="240" w:lineRule="auto"/>
              <w:jc w:val="center"/>
              <w:rPr>
                <w:rFonts w:cs="Arial"/>
              </w:rPr>
            </w:pPr>
            <w:r>
              <w:rPr>
                <w:b/>
              </w:rPr>
              <w:t>Fiscal Year Summary – HOME Match</w:t>
            </w:r>
          </w:p>
        </w:tc>
      </w:tr>
      <w:tr w:rsidR="005D4F50">
        <w:trPr>
          <w:cantSplit/>
        </w:trPr>
        <w:tc>
          <w:tcPr>
            <w:tcW w:w="0" w:type="auto"/>
            <w:vAlign w:val="bottom"/>
          </w:tcPr>
          <w:p w:rsidR="005D4F50" w:rsidRDefault="002420D6">
            <w:pPr>
              <w:spacing w:beforeAutospacing="1" w:afterAutospacing="1"/>
            </w:pPr>
            <w:r>
              <w:rPr>
                <w:color w:val="000000"/>
              </w:rPr>
              <w:t>1. Excess match from prior Federal fiscal year</w:t>
            </w:r>
          </w:p>
        </w:tc>
        <w:tc>
          <w:tcPr>
            <w:tcW w:w="0" w:type="auto"/>
            <w:vAlign w:val="bottom"/>
          </w:tcPr>
          <w:p w:rsidR="005D4F50" w:rsidRDefault="002420D6">
            <w:pPr>
              <w:spacing w:beforeAutospacing="1" w:afterAutospacing="1"/>
              <w:jc w:val="right"/>
            </w:pPr>
            <w:r>
              <w:rPr>
                <w:color w:val="000000"/>
              </w:rPr>
              <w:t>0</w:t>
            </w:r>
          </w:p>
        </w:tc>
      </w:tr>
      <w:tr w:rsidR="005D4F50">
        <w:trPr>
          <w:cantSplit/>
        </w:trPr>
        <w:tc>
          <w:tcPr>
            <w:tcW w:w="0" w:type="auto"/>
            <w:vAlign w:val="bottom"/>
          </w:tcPr>
          <w:p w:rsidR="005D4F50" w:rsidRDefault="002420D6">
            <w:pPr>
              <w:spacing w:beforeAutospacing="1" w:afterAutospacing="1"/>
            </w:pPr>
            <w:r>
              <w:rPr>
                <w:color w:val="000000"/>
              </w:rPr>
              <w:t>2. Match contributed during current Federal fiscal year</w:t>
            </w:r>
          </w:p>
        </w:tc>
        <w:tc>
          <w:tcPr>
            <w:tcW w:w="0" w:type="auto"/>
            <w:vAlign w:val="bottom"/>
          </w:tcPr>
          <w:p w:rsidR="005D4F50" w:rsidRDefault="002420D6">
            <w:pPr>
              <w:spacing w:beforeAutospacing="1" w:afterAutospacing="1"/>
              <w:jc w:val="right"/>
            </w:pPr>
            <w:r>
              <w:rPr>
                <w:color w:val="000000"/>
              </w:rPr>
              <w:t>0</w:t>
            </w:r>
          </w:p>
        </w:tc>
      </w:tr>
      <w:tr w:rsidR="005D4F50">
        <w:trPr>
          <w:cantSplit/>
        </w:trPr>
        <w:tc>
          <w:tcPr>
            <w:tcW w:w="0" w:type="auto"/>
            <w:vAlign w:val="bottom"/>
          </w:tcPr>
          <w:p w:rsidR="005D4F50" w:rsidRDefault="002420D6">
            <w:pPr>
              <w:spacing w:beforeAutospacing="1" w:afterAutospacing="1"/>
            </w:pPr>
            <w:r>
              <w:rPr>
                <w:color w:val="000000"/>
              </w:rPr>
              <w:t>3. Total match available for current Federal fiscal year (Line 1 plus Line 2)</w:t>
            </w:r>
          </w:p>
        </w:tc>
        <w:tc>
          <w:tcPr>
            <w:tcW w:w="0" w:type="auto"/>
            <w:vAlign w:val="bottom"/>
          </w:tcPr>
          <w:p w:rsidR="005D4F50" w:rsidRDefault="002420D6">
            <w:pPr>
              <w:spacing w:beforeAutospacing="1" w:afterAutospacing="1"/>
              <w:jc w:val="right"/>
            </w:pPr>
            <w:r>
              <w:rPr>
                <w:color w:val="000000"/>
              </w:rPr>
              <w:t>0</w:t>
            </w:r>
          </w:p>
        </w:tc>
      </w:tr>
      <w:tr w:rsidR="005D4F50">
        <w:trPr>
          <w:cantSplit/>
        </w:trPr>
        <w:tc>
          <w:tcPr>
            <w:tcW w:w="0" w:type="auto"/>
            <w:vAlign w:val="bottom"/>
          </w:tcPr>
          <w:p w:rsidR="005D4F50" w:rsidRDefault="002420D6">
            <w:pPr>
              <w:spacing w:beforeAutospacing="1" w:afterAutospacing="1"/>
            </w:pPr>
            <w:r>
              <w:rPr>
                <w:color w:val="000000"/>
              </w:rPr>
              <w:t>4. Match liability for current Federal fiscal year</w:t>
            </w:r>
          </w:p>
        </w:tc>
        <w:tc>
          <w:tcPr>
            <w:tcW w:w="0" w:type="auto"/>
            <w:vAlign w:val="bottom"/>
          </w:tcPr>
          <w:p w:rsidR="005D4F50" w:rsidRDefault="002420D6">
            <w:pPr>
              <w:spacing w:beforeAutospacing="1" w:afterAutospacing="1"/>
              <w:jc w:val="right"/>
            </w:pPr>
            <w:r>
              <w:rPr>
                <w:color w:val="000000"/>
              </w:rPr>
              <w:t>0</w:t>
            </w:r>
          </w:p>
        </w:tc>
      </w:tr>
      <w:tr w:rsidR="005D4F50">
        <w:trPr>
          <w:cantSplit/>
        </w:trPr>
        <w:tc>
          <w:tcPr>
            <w:tcW w:w="0" w:type="auto"/>
            <w:vAlign w:val="bottom"/>
          </w:tcPr>
          <w:p w:rsidR="005D4F50" w:rsidRDefault="002420D6">
            <w:pPr>
              <w:spacing w:beforeAutospacing="1" w:afterAutospacing="1"/>
            </w:pPr>
            <w:r>
              <w:rPr>
                <w:color w:val="000000"/>
              </w:rPr>
              <w:t>5. Excess match carried over to next Federal fiscal year (Line 3 minus Line 4)</w:t>
            </w:r>
          </w:p>
        </w:tc>
        <w:tc>
          <w:tcPr>
            <w:tcW w:w="0" w:type="auto"/>
            <w:vAlign w:val="bottom"/>
          </w:tcPr>
          <w:p w:rsidR="005D4F50" w:rsidRDefault="002420D6">
            <w:pPr>
              <w:spacing w:beforeAutospacing="1" w:afterAutospacing="1"/>
              <w:jc w:val="right"/>
            </w:pPr>
            <w:r>
              <w:rPr>
                <w:color w:val="000000"/>
              </w:rPr>
              <w:t>0</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5</w:t>
      </w:r>
      <w:r>
        <w:rPr>
          <w:rFonts w:asciiTheme="minorHAnsi" w:hAnsiTheme="minorHAnsi"/>
        </w:rPr>
        <w:fldChar w:fldCharType="end"/>
      </w:r>
      <w:r>
        <w:rPr>
          <w:rFonts w:asciiTheme="minorHAnsi" w:hAnsiTheme="minorHAnsi"/>
        </w:rPr>
        <w:t xml:space="preserve"> – Fisc</w:t>
      </w:r>
      <w:r>
        <w:rPr>
          <w:rFonts w:asciiTheme="minorHAnsi" w:hAnsiTheme="minorHAnsi"/>
        </w:rPr>
        <w:t>al Year Summary - HOME Match Report</w:t>
      </w:r>
    </w:p>
    <w:p w:rsidR="005D4F50" w:rsidRDefault="005D4F50">
      <w:pPr>
        <w:widowControl w:val="0"/>
        <w:spacing w:line="204" w:lineRule="auto"/>
        <w:rPr>
          <w:rFonts w:cs="Arial"/>
        </w:rPr>
      </w:pPr>
    </w:p>
    <w:p w:rsidR="005D4F50" w:rsidRDefault="005D4F50">
      <w:pPr>
        <w:widowControl w:val="0"/>
        <w:spacing w:line="204" w:lineRule="auto"/>
        <w:rPr>
          <w:rFonts w:cs="Arial"/>
        </w:rPr>
      </w:pPr>
    </w:p>
    <w:p w:rsidR="005D4F50" w:rsidRDefault="005D4F50">
      <w:pPr>
        <w:keepNext/>
        <w:spacing w:after="0" w:line="240" w:lineRule="auto"/>
        <w:rPr>
          <w:b/>
          <w:sz w:val="24"/>
          <w:szCs w:val="24"/>
        </w:rPr>
        <w:sectPr w:rsidR="005D4F50">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9"/>
        <w:gridCol w:w="1439"/>
        <w:gridCol w:w="1439"/>
        <w:gridCol w:w="1438"/>
        <w:gridCol w:w="1439"/>
        <w:gridCol w:w="1439"/>
        <w:gridCol w:w="1439"/>
        <w:gridCol w:w="1439"/>
        <w:gridCol w:w="1439"/>
      </w:tblGrid>
      <w:tr w:rsidR="005D4F50">
        <w:trPr>
          <w:cantSplit/>
          <w:tblHeader/>
        </w:trPr>
        <w:tc>
          <w:tcPr>
            <w:tcW w:w="13176" w:type="dxa"/>
            <w:gridSpan w:val="9"/>
          </w:tcPr>
          <w:p w:rsidR="005D4F50" w:rsidRDefault="002420D6">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5D4F50">
        <w:trPr>
          <w:cantSplit/>
          <w:tblHeader/>
        </w:trPr>
        <w:tc>
          <w:tcPr>
            <w:tcW w:w="1464" w:type="dxa"/>
          </w:tcPr>
          <w:p w:rsidR="005D4F50" w:rsidRDefault="002420D6">
            <w:pPr>
              <w:keepNext/>
              <w:widowControl w:val="0"/>
              <w:spacing w:after="0" w:line="240" w:lineRule="auto"/>
              <w:jc w:val="center"/>
              <w:rPr>
                <w:b/>
                <w:sz w:val="20"/>
                <w:szCs w:val="20"/>
              </w:rPr>
            </w:pPr>
            <w:r>
              <w:rPr>
                <w:b/>
                <w:sz w:val="20"/>
                <w:szCs w:val="20"/>
              </w:rPr>
              <w:t>Project No. or Other ID</w:t>
            </w:r>
          </w:p>
        </w:tc>
        <w:tc>
          <w:tcPr>
            <w:tcW w:w="1464" w:type="dxa"/>
          </w:tcPr>
          <w:p w:rsidR="005D4F50" w:rsidRDefault="002420D6">
            <w:pPr>
              <w:keepNext/>
              <w:widowControl w:val="0"/>
              <w:spacing w:after="0" w:line="240" w:lineRule="auto"/>
              <w:jc w:val="center"/>
              <w:rPr>
                <w:b/>
                <w:sz w:val="20"/>
                <w:szCs w:val="20"/>
              </w:rPr>
            </w:pPr>
            <w:r>
              <w:rPr>
                <w:b/>
                <w:sz w:val="20"/>
                <w:szCs w:val="20"/>
              </w:rPr>
              <w:t>Date of Contribution</w:t>
            </w:r>
          </w:p>
        </w:tc>
        <w:tc>
          <w:tcPr>
            <w:tcW w:w="1464" w:type="dxa"/>
          </w:tcPr>
          <w:p w:rsidR="005D4F50" w:rsidRDefault="002420D6">
            <w:pPr>
              <w:keepNext/>
              <w:widowControl w:val="0"/>
              <w:spacing w:after="0" w:line="240" w:lineRule="auto"/>
              <w:jc w:val="center"/>
              <w:rPr>
                <w:b/>
                <w:sz w:val="20"/>
                <w:szCs w:val="20"/>
              </w:rPr>
            </w:pPr>
            <w:r>
              <w:rPr>
                <w:b/>
                <w:sz w:val="20"/>
                <w:szCs w:val="20"/>
              </w:rPr>
              <w:t>Cash</w:t>
            </w:r>
          </w:p>
          <w:p w:rsidR="005D4F50" w:rsidRDefault="002420D6">
            <w:pPr>
              <w:keepNext/>
              <w:widowControl w:val="0"/>
              <w:spacing w:after="0" w:line="240" w:lineRule="auto"/>
              <w:jc w:val="center"/>
              <w:rPr>
                <w:b/>
                <w:sz w:val="20"/>
                <w:szCs w:val="20"/>
              </w:rPr>
            </w:pPr>
            <w:r>
              <w:rPr>
                <w:b/>
                <w:sz w:val="20"/>
                <w:szCs w:val="20"/>
              </w:rPr>
              <w:t>(non-Federal sources)</w:t>
            </w:r>
          </w:p>
        </w:tc>
        <w:tc>
          <w:tcPr>
            <w:tcW w:w="1464" w:type="dxa"/>
          </w:tcPr>
          <w:p w:rsidR="005D4F50" w:rsidRDefault="002420D6">
            <w:pPr>
              <w:keepNext/>
              <w:widowControl w:val="0"/>
              <w:spacing w:after="0" w:line="240" w:lineRule="auto"/>
              <w:jc w:val="center"/>
              <w:rPr>
                <w:b/>
                <w:sz w:val="20"/>
                <w:szCs w:val="20"/>
              </w:rPr>
            </w:pPr>
            <w:r>
              <w:rPr>
                <w:b/>
                <w:sz w:val="20"/>
                <w:szCs w:val="20"/>
              </w:rPr>
              <w:t>Foregone Taxes, Fees, Charges</w:t>
            </w:r>
          </w:p>
        </w:tc>
        <w:tc>
          <w:tcPr>
            <w:tcW w:w="1464" w:type="dxa"/>
          </w:tcPr>
          <w:p w:rsidR="005D4F50" w:rsidRDefault="002420D6">
            <w:pPr>
              <w:keepNext/>
              <w:widowControl w:val="0"/>
              <w:spacing w:after="0" w:line="240" w:lineRule="auto"/>
              <w:jc w:val="center"/>
              <w:rPr>
                <w:b/>
                <w:sz w:val="20"/>
                <w:szCs w:val="20"/>
              </w:rPr>
            </w:pPr>
            <w:r>
              <w:rPr>
                <w:b/>
                <w:sz w:val="20"/>
                <w:szCs w:val="20"/>
              </w:rPr>
              <w:t>Appraised Land/Real Property</w:t>
            </w:r>
          </w:p>
        </w:tc>
        <w:tc>
          <w:tcPr>
            <w:tcW w:w="1464" w:type="dxa"/>
          </w:tcPr>
          <w:p w:rsidR="005D4F50" w:rsidRDefault="002420D6">
            <w:pPr>
              <w:keepNext/>
              <w:widowControl w:val="0"/>
              <w:spacing w:after="0" w:line="240" w:lineRule="auto"/>
              <w:jc w:val="center"/>
              <w:rPr>
                <w:b/>
                <w:sz w:val="20"/>
                <w:szCs w:val="20"/>
              </w:rPr>
            </w:pPr>
            <w:r>
              <w:rPr>
                <w:b/>
                <w:sz w:val="20"/>
                <w:szCs w:val="20"/>
              </w:rPr>
              <w:t>Required Infrastructure</w:t>
            </w:r>
          </w:p>
        </w:tc>
        <w:tc>
          <w:tcPr>
            <w:tcW w:w="1464" w:type="dxa"/>
          </w:tcPr>
          <w:p w:rsidR="005D4F50" w:rsidRDefault="002420D6">
            <w:pPr>
              <w:keepNext/>
              <w:widowControl w:val="0"/>
              <w:spacing w:after="0" w:line="240" w:lineRule="auto"/>
              <w:jc w:val="center"/>
              <w:rPr>
                <w:b/>
                <w:sz w:val="20"/>
                <w:szCs w:val="20"/>
              </w:rPr>
            </w:pPr>
            <w:r>
              <w:rPr>
                <w:b/>
                <w:sz w:val="20"/>
                <w:szCs w:val="20"/>
              </w:rPr>
              <w:t xml:space="preserve">Site </w:t>
            </w:r>
            <w:r>
              <w:rPr>
                <w:b/>
                <w:sz w:val="20"/>
                <w:szCs w:val="20"/>
              </w:rPr>
              <w:t>Preparation, Construction Materials, Donated labor</w:t>
            </w:r>
          </w:p>
        </w:tc>
        <w:tc>
          <w:tcPr>
            <w:tcW w:w="1464" w:type="dxa"/>
          </w:tcPr>
          <w:p w:rsidR="005D4F50" w:rsidRDefault="002420D6">
            <w:pPr>
              <w:keepNext/>
              <w:widowControl w:val="0"/>
              <w:spacing w:after="0" w:line="240" w:lineRule="auto"/>
              <w:jc w:val="center"/>
              <w:rPr>
                <w:b/>
                <w:sz w:val="20"/>
                <w:szCs w:val="20"/>
              </w:rPr>
            </w:pPr>
            <w:r>
              <w:rPr>
                <w:b/>
                <w:sz w:val="20"/>
                <w:szCs w:val="20"/>
              </w:rPr>
              <w:t>Bond Financing</w:t>
            </w:r>
          </w:p>
        </w:tc>
        <w:tc>
          <w:tcPr>
            <w:tcW w:w="1464" w:type="dxa"/>
          </w:tcPr>
          <w:p w:rsidR="005D4F50" w:rsidRDefault="002420D6">
            <w:pPr>
              <w:keepNext/>
              <w:widowControl w:val="0"/>
              <w:spacing w:after="0" w:line="240" w:lineRule="auto"/>
              <w:jc w:val="center"/>
              <w:rPr>
                <w:b/>
                <w:sz w:val="20"/>
                <w:szCs w:val="20"/>
              </w:rPr>
            </w:pPr>
            <w:r>
              <w:rPr>
                <w:b/>
                <w:sz w:val="20"/>
                <w:szCs w:val="20"/>
              </w:rPr>
              <w:t>Total Match</w:t>
            </w:r>
          </w:p>
        </w:tc>
      </w:tr>
      <w:tr w:rsidR="005D4F50">
        <w:trPr>
          <w:cantSplit/>
        </w:trPr>
        <w:tc>
          <w:tcPr>
            <w:tcW w:w="1465" w:type="dxa"/>
            <w:vAlign w:val="bottom"/>
          </w:tcPr>
          <w:p w:rsidR="005D4F50" w:rsidRDefault="002420D6">
            <w:pPr>
              <w:spacing w:beforeAutospacing="1" w:afterAutospacing="1"/>
              <w:jc w:val="right"/>
            </w:pPr>
            <w:r>
              <w:rPr>
                <w:color w:val="000000"/>
              </w:rPr>
              <w:t>n/a</w:t>
            </w:r>
          </w:p>
        </w:tc>
        <w:tc>
          <w:tcPr>
            <w:tcW w:w="1465" w:type="dxa"/>
            <w:vAlign w:val="bottom"/>
          </w:tcPr>
          <w:p w:rsidR="005D4F50" w:rsidRDefault="002420D6">
            <w:pPr>
              <w:spacing w:beforeAutospacing="1" w:afterAutospacing="1"/>
              <w:jc w:val="right"/>
            </w:pPr>
            <w:r>
              <w:rPr>
                <w:color w:val="000000"/>
              </w:rPr>
              <w:t>0</w:t>
            </w:r>
          </w:p>
        </w:tc>
        <w:tc>
          <w:tcPr>
            <w:tcW w:w="1465" w:type="dxa"/>
            <w:vAlign w:val="bottom"/>
          </w:tcPr>
          <w:p w:rsidR="005D4F50" w:rsidRDefault="002420D6">
            <w:pPr>
              <w:spacing w:beforeAutospacing="1" w:afterAutospacing="1"/>
              <w:jc w:val="right"/>
            </w:pPr>
            <w:r>
              <w:rPr>
                <w:color w:val="000000"/>
              </w:rPr>
              <w:t>0</w:t>
            </w:r>
          </w:p>
        </w:tc>
        <w:tc>
          <w:tcPr>
            <w:tcW w:w="1465" w:type="dxa"/>
            <w:vAlign w:val="bottom"/>
          </w:tcPr>
          <w:p w:rsidR="005D4F50" w:rsidRDefault="002420D6">
            <w:pPr>
              <w:spacing w:beforeAutospacing="1" w:afterAutospacing="1"/>
              <w:jc w:val="right"/>
            </w:pPr>
            <w:r>
              <w:rPr>
                <w:color w:val="000000"/>
              </w:rPr>
              <w:t>0</w:t>
            </w:r>
          </w:p>
        </w:tc>
        <w:tc>
          <w:tcPr>
            <w:tcW w:w="1466" w:type="dxa"/>
            <w:vAlign w:val="bottom"/>
          </w:tcPr>
          <w:p w:rsidR="005D4F50" w:rsidRDefault="002420D6">
            <w:pPr>
              <w:spacing w:beforeAutospacing="1" w:afterAutospacing="1"/>
              <w:jc w:val="right"/>
            </w:pPr>
            <w:r>
              <w:rPr>
                <w:color w:val="000000"/>
              </w:rPr>
              <w:t>0</w:t>
            </w:r>
          </w:p>
        </w:tc>
        <w:tc>
          <w:tcPr>
            <w:tcW w:w="1466" w:type="dxa"/>
            <w:vAlign w:val="bottom"/>
          </w:tcPr>
          <w:p w:rsidR="005D4F50" w:rsidRDefault="002420D6">
            <w:pPr>
              <w:spacing w:beforeAutospacing="1" w:afterAutospacing="1"/>
              <w:jc w:val="right"/>
            </w:pPr>
            <w:r>
              <w:rPr>
                <w:color w:val="000000"/>
              </w:rPr>
              <w:t>0</w:t>
            </w:r>
          </w:p>
        </w:tc>
        <w:tc>
          <w:tcPr>
            <w:tcW w:w="1466" w:type="dxa"/>
            <w:vAlign w:val="bottom"/>
          </w:tcPr>
          <w:p w:rsidR="005D4F50" w:rsidRDefault="002420D6">
            <w:pPr>
              <w:spacing w:beforeAutospacing="1" w:afterAutospacing="1"/>
              <w:jc w:val="right"/>
            </w:pPr>
            <w:r>
              <w:rPr>
                <w:color w:val="000000"/>
              </w:rPr>
              <w:t>0</w:t>
            </w:r>
          </w:p>
        </w:tc>
        <w:tc>
          <w:tcPr>
            <w:tcW w:w="1466" w:type="dxa"/>
            <w:vAlign w:val="bottom"/>
          </w:tcPr>
          <w:p w:rsidR="005D4F50" w:rsidRDefault="002420D6">
            <w:pPr>
              <w:spacing w:beforeAutospacing="1" w:afterAutospacing="1"/>
              <w:jc w:val="right"/>
            </w:pPr>
            <w:r>
              <w:rPr>
                <w:color w:val="000000"/>
              </w:rPr>
              <w:t>0</w:t>
            </w:r>
          </w:p>
        </w:tc>
        <w:tc>
          <w:tcPr>
            <w:tcW w:w="1466" w:type="dxa"/>
            <w:vAlign w:val="bottom"/>
          </w:tcPr>
          <w:p w:rsidR="005D4F50" w:rsidRDefault="002420D6">
            <w:pPr>
              <w:spacing w:beforeAutospacing="1" w:afterAutospacing="1"/>
              <w:jc w:val="right"/>
            </w:pPr>
            <w:r>
              <w:rPr>
                <w:color w:val="000000"/>
              </w:rPr>
              <w:t>0</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6</w:t>
      </w:r>
      <w:r>
        <w:rPr>
          <w:rFonts w:asciiTheme="minorHAnsi" w:hAnsiTheme="minorHAnsi"/>
        </w:rPr>
        <w:fldChar w:fldCharType="end"/>
      </w:r>
      <w:r>
        <w:rPr>
          <w:rFonts w:asciiTheme="minorHAnsi" w:hAnsiTheme="minorHAnsi"/>
        </w:rPr>
        <w:t xml:space="preserve"> – Match Contribution for the Federal Fiscal Year</w:t>
      </w:r>
    </w:p>
    <w:p w:rsidR="005D4F50" w:rsidRDefault="005D4F50"/>
    <w:p w:rsidR="005D4F50" w:rsidRDefault="002420D6">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5D4F50">
        <w:trPr>
          <w:cantSplit/>
          <w:tblHeader/>
        </w:trPr>
        <w:tc>
          <w:tcPr>
            <w:tcW w:w="13176" w:type="dxa"/>
            <w:gridSpan w:val="5"/>
          </w:tcPr>
          <w:p w:rsidR="005D4F50" w:rsidRDefault="002420D6">
            <w:pPr>
              <w:keepNext/>
              <w:widowControl w:val="0"/>
              <w:spacing w:after="0" w:line="240" w:lineRule="auto"/>
              <w:rPr>
                <w:b/>
              </w:rPr>
            </w:pPr>
            <w:r>
              <w:rPr>
                <w:b/>
              </w:rPr>
              <w:t xml:space="preserve">Program Income </w:t>
            </w:r>
            <w:r>
              <w:t xml:space="preserve">– Enter the program amounts for the </w:t>
            </w:r>
            <w:r>
              <w:t>reporting period</w:t>
            </w:r>
          </w:p>
        </w:tc>
      </w:tr>
      <w:tr w:rsidR="005D4F50">
        <w:trPr>
          <w:cantSplit/>
          <w:tblHeader/>
        </w:trPr>
        <w:tc>
          <w:tcPr>
            <w:tcW w:w="2635" w:type="dxa"/>
          </w:tcPr>
          <w:p w:rsidR="005D4F50" w:rsidRDefault="002420D6">
            <w:pPr>
              <w:keepNext/>
              <w:spacing w:after="0" w:line="240" w:lineRule="auto"/>
              <w:jc w:val="center"/>
              <w:rPr>
                <w:b/>
              </w:rPr>
            </w:pPr>
            <w:r>
              <w:rPr>
                <w:b/>
              </w:rPr>
              <w:t>Balance on hand at begin-ning of reporting period</w:t>
            </w:r>
          </w:p>
          <w:p w:rsidR="005D4F50" w:rsidRDefault="002420D6">
            <w:pPr>
              <w:keepNext/>
              <w:spacing w:after="0" w:line="240" w:lineRule="auto"/>
              <w:jc w:val="center"/>
              <w:rPr>
                <w:b/>
              </w:rPr>
            </w:pPr>
            <w:r>
              <w:rPr>
                <w:b/>
              </w:rPr>
              <w:t>$</w:t>
            </w:r>
          </w:p>
        </w:tc>
        <w:tc>
          <w:tcPr>
            <w:tcW w:w="2635" w:type="dxa"/>
          </w:tcPr>
          <w:p w:rsidR="005D4F50" w:rsidRDefault="002420D6">
            <w:pPr>
              <w:keepNext/>
              <w:spacing w:after="0" w:line="240" w:lineRule="auto"/>
              <w:jc w:val="center"/>
              <w:rPr>
                <w:b/>
              </w:rPr>
            </w:pPr>
            <w:r>
              <w:rPr>
                <w:b/>
              </w:rPr>
              <w:t>Amount received during reporting period</w:t>
            </w:r>
          </w:p>
          <w:p w:rsidR="005D4F50" w:rsidRDefault="002420D6">
            <w:pPr>
              <w:keepNext/>
              <w:spacing w:after="0" w:line="240" w:lineRule="auto"/>
              <w:jc w:val="center"/>
              <w:rPr>
                <w:b/>
              </w:rPr>
            </w:pPr>
            <w:r>
              <w:rPr>
                <w:b/>
              </w:rPr>
              <w:t>$</w:t>
            </w:r>
          </w:p>
        </w:tc>
        <w:tc>
          <w:tcPr>
            <w:tcW w:w="2635" w:type="dxa"/>
          </w:tcPr>
          <w:p w:rsidR="005D4F50" w:rsidRDefault="002420D6">
            <w:pPr>
              <w:keepNext/>
              <w:spacing w:after="0" w:line="240" w:lineRule="auto"/>
              <w:jc w:val="center"/>
              <w:rPr>
                <w:b/>
              </w:rPr>
            </w:pPr>
            <w:r>
              <w:rPr>
                <w:b/>
              </w:rPr>
              <w:t>Total amount expended during reporting period</w:t>
            </w:r>
          </w:p>
          <w:p w:rsidR="005D4F50" w:rsidRDefault="002420D6">
            <w:pPr>
              <w:keepNext/>
              <w:spacing w:after="0" w:line="240" w:lineRule="auto"/>
              <w:jc w:val="center"/>
              <w:rPr>
                <w:b/>
              </w:rPr>
            </w:pPr>
            <w:r>
              <w:rPr>
                <w:b/>
              </w:rPr>
              <w:t>$</w:t>
            </w:r>
          </w:p>
        </w:tc>
        <w:tc>
          <w:tcPr>
            <w:tcW w:w="2635" w:type="dxa"/>
          </w:tcPr>
          <w:p w:rsidR="005D4F50" w:rsidRDefault="002420D6">
            <w:pPr>
              <w:keepNext/>
              <w:spacing w:after="0" w:line="240" w:lineRule="auto"/>
              <w:jc w:val="center"/>
              <w:rPr>
                <w:b/>
              </w:rPr>
            </w:pPr>
            <w:r>
              <w:rPr>
                <w:b/>
              </w:rPr>
              <w:t>Amount expended for TBRA</w:t>
            </w:r>
          </w:p>
          <w:p w:rsidR="005D4F50" w:rsidRDefault="002420D6">
            <w:pPr>
              <w:keepNext/>
              <w:spacing w:after="0" w:line="240" w:lineRule="auto"/>
              <w:jc w:val="center"/>
              <w:rPr>
                <w:b/>
              </w:rPr>
            </w:pPr>
            <w:r>
              <w:rPr>
                <w:b/>
              </w:rPr>
              <w:t>$</w:t>
            </w:r>
          </w:p>
        </w:tc>
        <w:tc>
          <w:tcPr>
            <w:tcW w:w="2636" w:type="dxa"/>
          </w:tcPr>
          <w:p w:rsidR="005D4F50" w:rsidRDefault="002420D6">
            <w:pPr>
              <w:keepNext/>
              <w:spacing w:after="0" w:line="240" w:lineRule="auto"/>
              <w:jc w:val="center"/>
              <w:rPr>
                <w:b/>
              </w:rPr>
            </w:pPr>
            <w:r>
              <w:rPr>
                <w:b/>
              </w:rPr>
              <w:t>Balance on hand at end of reporting period</w:t>
            </w:r>
          </w:p>
          <w:p w:rsidR="005D4F50" w:rsidRDefault="002420D6">
            <w:pPr>
              <w:keepNext/>
              <w:spacing w:after="0" w:line="240" w:lineRule="auto"/>
              <w:jc w:val="center"/>
              <w:rPr>
                <w:b/>
              </w:rPr>
            </w:pPr>
            <w:r>
              <w:rPr>
                <w:b/>
              </w:rPr>
              <w:t>$</w:t>
            </w:r>
          </w:p>
        </w:tc>
      </w:tr>
      <w:tr w:rsidR="005D4F50">
        <w:trPr>
          <w:cantSplit/>
        </w:trPr>
        <w:tc>
          <w:tcPr>
            <w:tcW w:w="2637" w:type="dxa"/>
            <w:vAlign w:val="bottom"/>
          </w:tcPr>
          <w:p w:rsidR="005D4F50" w:rsidRDefault="002420D6">
            <w:pPr>
              <w:spacing w:beforeAutospacing="1" w:afterAutospacing="1"/>
              <w:jc w:val="right"/>
            </w:pPr>
            <w:r>
              <w:rPr>
                <w:color w:val="000000"/>
              </w:rPr>
              <w:t>40,121</w:t>
            </w:r>
          </w:p>
        </w:tc>
        <w:tc>
          <w:tcPr>
            <w:tcW w:w="2638" w:type="dxa"/>
            <w:vAlign w:val="bottom"/>
          </w:tcPr>
          <w:p w:rsidR="005D4F50" w:rsidRDefault="002420D6">
            <w:pPr>
              <w:spacing w:beforeAutospacing="1" w:afterAutospacing="1"/>
              <w:jc w:val="right"/>
            </w:pPr>
            <w:r>
              <w:rPr>
                <w:color w:val="000000"/>
              </w:rPr>
              <w:t>46,999</w:t>
            </w:r>
          </w:p>
        </w:tc>
        <w:tc>
          <w:tcPr>
            <w:tcW w:w="2638" w:type="dxa"/>
            <w:vAlign w:val="bottom"/>
          </w:tcPr>
          <w:p w:rsidR="005D4F50" w:rsidRDefault="002420D6">
            <w:pPr>
              <w:spacing w:beforeAutospacing="1" w:afterAutospacing="1"/>
              <w:jc w:val="right"/>
            </w:pPr>
            <w:r>
              <w:rPr>
                <w:color w:val="000000"/>
              </w:rPr>
              <w:t>40,121</w:t>
            </w:r>
          </w:p>
        </w:tc>
        <w:tc>
          <w:tcPr>
            <w:tcW w:w="2638" w:type="dxa"/>
            <w:vAlign w:val="bottom"/>
          </w:tcPr>
          <w:p w:rsidR="005D4F50" w:rsidRDefault="002420D6">
            <w:pPr>
              <w:spacing w:beforeAutospacing="1" w:afterAutospacing="1"/>
              <w:jc w:val="right"/>
            </w:pPr>
            <w:r>
              <w:rPr>
                <w:color w:val="000000"/>
              </w:rPr>
              <w:t>0</w:t>
            </w:r>
          </w:p>
        </w:tc>
        <w:tc>
          <w:tcPr>
            <w:tcW w:w="2639" w:type="dxa"/>
            <w:vAlign w:val="bottom"/>
          </w:tcPr>
          <w:p w:rsidR="005D4F50" w:rsidRDefault="002420D6">
            <w:pPr>
              <w:spacing w:beforeAutospacing="1" w:afterAutospacing="1"/>
              <w:jc w:val="right"/>
            </w:pPr>
            <w:r>
              <w:rPr>
                <w:color w:val="000000"/>
              </w:rPr>
              <w:t>46,999</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7</w:t>
      </w:r>
      <w:r>
        <w:rPr>
          <w:rFonts w:asciiTheme="minorHAnsi" w:hAnsiTheme="minorHAnsi"/>
        </w:rPr>
        <w:fldChar w:fldCharType="end"/>
      </w:r>
      <w:r>
        <w:rPr>
          <w:rFonts w:asciiTheme="minorHAnsi" w:hAnsiTheme="minorHAnsi"/>
        </w:rPr>
        <w:t xml:space="preserve"> – Program Income</w:t>
      </w:r>
    </w:p>
    <w:p w:rsidR="005D4F50" w:rsidRDefault="005D4F50">
      <w:pPr>
        <w:widowControl w:val="0"/>
        <w:spacing w:after="0" w:line="240" w:lineRule="auto"/>
        <w:rPr>
          <w:b/>
          <w:sz w:val="20"/>
          <w:szCs w:val="20"/>
        </w:rPr>
      </w:pPr>
    </w:p>
    <w:p w:rsidR="005D4F50" w:rsidRDefault="005D4F50">
      <w:pPr>
        <w:widowControl w:val="0"/>
        <w:spacing w:after="0" w:line="240" w:lineRule="auto"/>
        <w:jc w:val="center"/>
        <w:rPr>
          <w:b/>
          <w:sz w:val="20"/>
          <w:szCs w:val="20"/>
        </w:rPr>
        <w:sectPr w:rsidR="005D4F50">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4F50">
        <w:tc>
          <w:tcPr>
            <w:tcW w:w="9576" w:type="dxa"/>
          </w:tcPr>
          <w:p w:rsidR="005D4F50" w:rsidRDefault="002420D6">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rsidR="005D4F50" w:rsidRDefault="005D4F5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5D4F50">
        <w:trPr>
          <w:cantSplit/>
        </w:trPr>
        <w:tc>
          <w:tcPr>
            <w:tcW w:w="1368" w:type="dxa"/>
            <w:vMerge w:val="restart"/>
          </w:tcPr>
          <w:p w:rsidR="005D4F50" w:rsidRDefault="005D4F50">
            <w:pPr>
              <w:keepNext/>
              <w:widowControl w:val="0"/>
              <w:spacing w:after="0" w:line="240" w:lineRule="auto"/>
              <w:rPr>
                <w:b/>
              </w:rPr>
            </w:pPr>
          </w:p>
        </w:tc>
        <w:tc>
          <w:tcPr>
            <w:tcW w:w="1368" w:type="dxa"/>
            <w:vMerge w:val="restart"/>
          </w:tcPr>
          <w:p w:rsidR="005D4F50" w:rsidRDefault="002420D6">
            <w:pPr>
              <w:keepNext/>
              <w:widowControl w:val="0"/>
              <w:spacing w:after="0" w:line="240" w:lineRule="auto"/>
              <w:jc w:val="center"/>
              <w:rPr>
                <w:b/>
              </w:rPr>
            </w:pPr>
            <w:r>
              <w:rPr>
                <w:b/>
              </w:rPr>
              <w:t>Total</w:t>
            </w:r>
          </w:p>
        </w:tc>
        <w:tc>
          <w:tcPr>
            <w:tcW w:w="5472" w:type="dxa"/>
            <w:gridSpan w:val="4"/>
          </w:tcPr>
          <w:p w:rsidR="005D4F50" w:rsidRDefault="002420D6">
            <w:pPr>
              <w:keepNext/>
              <w:widowControl w:val="0"/>
              <w:spacing w:after="0" w:line="240" w:lineRule="auto"/>
              <w:jc w:val="center"/>
              <w:rPr>
                <w:b/>
              </w:rPr>
            </w:pPr>
            <w:r>
              <w:rPr>
                <w:b/>
              </w:rPr>
              <w:t>Minority</w:t>
            </w:r>
            <w:r>
              <w:rPr>
                <w:b/>
              </w:rPr>
              <w:t xml:space="preserve"> Business Enterprises</w:t>
            </w:r>
          </w:p>
        </w:tc>
        <w:tc>
          <w:tcPr>
            <w:tcW w:w="1368" w:type="dxa"/>
            <w:vMerge w:val="restart"/>
          </w:tcPr>
          <w:p w:rsidR="005D4F50" w:rsidRDefault="002420D6">
            <w:pPr>
              <w:keepNext/>
              <w:widowControl w:val="0"/>
              <w:spacing w:after="0" w:line="240" w:lineRule="auto"/>
              <w:jc w:val="center"/>
              <w:rPr>
                <w:b/>
              </w:rPr>
            </w:pPr>
            <w:r>
              <w:rPr>
                <w:b/>
              </w:rPr>
              <w:t>White Non-Hispanic</w:t>
            </w:r>
          </w:p>
        </w:tc>
      </w:tr>
      <w:tr w:rsidR="005D4F50">
        <w:trPr>
          <w:cantSplit/>
        </w:trPr>
        <w:tc>
          <w:tcPr>
            <w:tcW w:w="1368" w:type="dxa"/>
            <w:vMerge/>
          </w:tcPr>
          <w:p w:rsidR="005D4F50" w:rsidRDefault="005D4F50">
            <w:pPr>
              <w:keepNext/>
              <w:widowControl w:val="0"/>
              <w:spacing w:after="0" w:line="240" w:lineRule="auto"/>
              <w:rPr>
                <w:b/>
              </w:rPr>
            </w:pPr>
          </w:p>
        </w:tc>
        <w:tc>
          <w:tcPr>
            <w:tcW w:w="1368" w:type="dxa"/>
            <w:vMerge/>
          </w:tcPr>
          <w:p w:rsidR="005D4F50" w:rsidRDefault="005D4F50">
            <w:pPr>
              <w:keepNext/>
              <w:widowControl w:val="0"/>
              <w:spacing w:after="0" w:line="240" w:lineRule="auto"/>
              <w:rPr>
                <w:b/>
              </w:rPr>
            </w:pPr>
          </w:p>
        </w:tc>
        <w:tc>
          <w:tcPr>
            <w:tcW w:w="1368" w:type="dxa"/>
          </w:tcPr>
          <w:p w:rsidR="005D4F50" w:rsidRDefault="002420D6">
            <w:pPr>
              <w:keepNext/>
              <w:spacing w:after="0" w:line="240" w:lineRule="auto"/>
              <w:jc w:val="center"/>
              <w:rPr>
                <w:b/>
              </w:rPr>
            </w:pPr>
            <w:r>
              <w:rPr>
                <w:b/>
              </w:rPr>
              <w:t>Alaskan Native or American Indian</w:t>
            </w:r>
          </w:p>
        </w:tc>
        <w:tc>
          <w:tcPr>
            <w:tcW w:w="1368" w:type="dxa"/>
          </w:tcPr>
          <w:p w:rsidR="005D4F50" w:rsidRDefault="002420D6">
            <w:pPr>
              <w:keepNext/>
              <w:widowControl w:val="0"/>
              <w:spacing w:after="0" w:line="240" w:lineRule="auto"/>
              <w:jc w:val="center"/>
              <w:rPr>
                <w:b/>
              </w:rPr>
            </w:pPr>
            <w:r>
              <w:rPr>
                <w:b/>
              </w:rPr>
              <w:t>Asian or Pacific Islander</w:t>
            </w:r>
          </w:p>
        </w:tc>
        <w:tc>
          <w:tcPr>
            <w:tcW w:w="1368" w:type="dxa"/>
          </w:tcPr>
          <w:p w:rsidR="005D4F50" w:rsidRDefault="002420D6">
            <w:pPr>
              <w:keepNext/>
              <w:widowControl w:val="0"/>
              <w:spacing w:after="0" w:line="240" w:lineRule="auto"/>
              <w:jc w:val="center"/>
              <w:rPr>
                <w:b/>
              </w:rPr>
            </w:pPr>
            <w:r>
              <w:rPr>
                <w:b/>
              </w:rPr>
              <w:t>Black Non-Hispanic</w:t>
            </w:r>
          </w:p>
        </w:tc>
        <w:tc>
          <w:tcPr>
            <w:tcW w:w="1368" w:type="dxa"/>
          </w:tcPr>
          <w:p w:rsidR="005D4F50" w:rsidRDefault="002420D6">
            <w:pPr>
              <w:keepNext/>
              <w:widowControl w:val="0"/>
              <w:spacing w:after="0" w:line="240" w:lineRule="auto"/>
              <w:jc w:val="center"/>
              <w:rPr>
                <w:b/>
              </w:rPr>
            </w:pPr>
            <w:r>
              <w:rPr>
                <w:b/>
              </w:rPr>
              <w:t>Hispanic</w:t>
            </w:r>
          </w:p>
        </w:tc>
        <w:tc>
          <w:tcPr>
            <w:tcW w:w="1368" w:type="dxa"/>
            <w:vMerge/>
          </w:tcPr>
          <w:p w:rsidR="005D4F50" w:rsidRDefault="005D4F50">
            <w:pPr>
              <w:keepNext/>
              <w:widowControl w:val="0"/>
              <w:spacing w:after="0" w:line="240" w:lineRule="auto"/>
              <w:jc w:val="center"/>
              <w:rPr>
                <w:b/>
              </w:rPr>
            </w:pPr>
          </w:p>
        </w:tc>
      </w:tr>
    </w:tbl>
    <w:p w:rsidR="005D4F50" w:rsidRDefault="005D4F5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5D4F50">
        <w:trPr>
          <w:cantSplit/>
        </w:trPr>
        <w:tc>
          <w:tcPr>
            <w:tcW w:w="9576" w:type="dxa"/>
            <w:gridSpan w:val="7"/>
          </w:tcPr>
          <w:p w:rsidR="005D4F50" w:rsidRDefault="002420D6">
            <w:pPr>
              <w:keepNext/>
              <w:widowControl w:val="0"/>
              <w:spacing w:after="0" w:line="240" w:lineRule="auto"/>
              <w:rPr>
                <w:b/>
              </w:rPr>
            </w:pPr>
            <w:r>
              <w:rPr>
                <w:b/>
              </w:rPr>
              <w:t>Contracts</w:t>
            </w:r>
          </w:p>
        </w:tc>
      </w:tr>
      <w:tr w:rsidR="005D4F50">
        <w:trPr>
          <w:cantSplit/>
          <w:hidden/>
        </w:trPr>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r>
      <w:tr w:rsidR="005D4F50">
        <w:trPr>
          <w:cantSplit/>
        </w:trPr>
        <w:tc>
          <w:tcPr>
            <w:tcW w:w="1370" w:type="dxa"/>
          </w:tcPr>
          <w:p w:rsidR="005D4F50" w:rsidRDefault="002420D6">
            <w:pPr>
              <w:spacing w:beforeAutospacing="1" w:afterAutospacing="1"/>
            </w:pPr>
            <w:r>
              <w:rPr>
                <w:color w:val="000000"/>
              </w:rPr>
              <w:t>Dollar Amount</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r>
      <w:tr w:rsidR="005D4F50">
        <w:trPr>
          <w:cantSplit/>
        </w:trPr>
        <w:tc>
          <w:tcPr>
            <w:tcW w:w="1370" w:type="dxa"/>
          </w:tcPr>
          <w:p w:rsidR="005D4F50" w:rsidRDefault="002420D6">
            <w:pPr>
              <w:spacing w:beforeAutospacing="1" w:afterAutospacing="1"/>
            </w:pPr>
            <w:r>
              <w:rPr>
                <w:color w:val="000000"/>
              </w:rPr>
              <w:t>Number</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r>
    </w:tbl>
    <w:p w:rsidR="005D4F50" w:rsidRDefault="005D4F5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5D4F50">
        <w:trPr>
          <w:cantSplit/>
        </w:trPr>
        <w:tc>
          <w:tcPr>
            <w:tcW w:w="9576" w:type="dxa"/>
            <w:gridSpan w:val="7"/>
          </w:tcPr>
          <w:p w:rsidR="005D4F50" w:rsidRDefault="002420D6">
            <w:pPr>
              <w:keepNext/>
              <w:widowControl w:val="0"/>
              <w:spacing w:after="0" w:line="240" w:lineRule="auto"/>
              <w:rPr>
                <w:b/>
              </w:rPr>
            </w:pPr>
            <w:r>
              <w:rPr>
                <w:b/>
              </w:rPr>
              <w:t>Sub-Contracts</w:t>
            </w:r>
          </w:p>
        </w:tc>
      </w:tr>
      <w:tr w:rsidR="005D4F50">
        <w:trPr>
          <w:cantSplit/>
          <w:hidden/>
        </w:trPr>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c>
          <w:tcPr>
            <w:tcW w:w="1368" w:type="dxa"/>
          </w:tcPr>
          <w:p w:rsidR="005D4F50" w:rsidRDefault="005D4F50">
            <w:pPr>
              <w:keepNext/>
              <w:widowControl w:val="0"/>
              <w:spacing w:after="0" w:line="240" w:lineRule="auto"/>
              <w:rPr>
                <w:b/>
                <w:vanish/>
              </w:rPr>
            </w:pPr>
          </w:p>
        </w:tc>
      </w:tr>
      <w:tr w:rsidR="005D4F50">
        <w:trPr>
          <w:cantSplit/>
        </w:trPr>
        <w:tc>
          <w:tcPr>
            <w:tcW w:w="1370" w:type="dxa"/>
          </w:tcPr>
          <w:p w:rsidR="005D4F50" w:rsidRDefault="002420D6">
            <w:pPr>
              <w:spacing w:beforeAutospacing="1" w:afterAutospacing="1"/>
            </w:pPr>
            <w:r>
              <w:rPr>
                <w:color w:val="000000"/>
              </w:rPr>
              <w:t>Number</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r>
      <w:tr w:rsidR="005D4F50">
        <w:trPr>
          <w:cantSplit/>
        </w:trPr>
        <w:tc>
          <w:tcPr>
            <w:tcW w:w="1370" w:type="dxa"/>
          </w:tcPr>
          <w:p w:rsidR="005D4F50" w:rsidRDefault="002420D6">
            <w:pPr>
              <w:spacing w:beforeAutospacing="1" w:afterAutospacing="1"/>
            </w:pPr>
            <w:r>
              <w:rPr>
                <w:color w:val="000000"/>
              </w:rPr>
              <w:t>Dollar Amount</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c>
          <w:tcPr>
            <w:tcW w:w="1370" w:type="dxa"/>
            <w:vAlign w:val="bottom"/>
          </w:tcPr>
          <w:p w:rsidR="005D4F50" w:rsidRDefault="002420D6">
            <w:pPr>
              <w:spacing w:beforeAutospacing="1" w:afterAutospacing="1"/>
              <w:jc w:val="right"/>
            </w:pPr>
            <w:r>
              <w:rPr>
                <w:color w:val="000000"/>
              </w:rPr>
              <w:t>0</w:t>
            </w:r>
          </w:p>
        </w:tc>
      </w:tr>
    </w:tbl>
    <w:p w:rsidR="005D4F50" w:rsidRDefault="005D4F50">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5D4F50">
        <w:trPr>
          <w:cantSplit/>
        </w:trPr>
        <w:tc>
          <w:tcPr>
            <w:tcW w:w="1394" w:type="dxa"/>
          </w:tcPr>
          <w:p w:rsidR="005D4F50" w:rsidRDefault="005D4F50">
            <w:pPr>
              <w:keepNext/>
              <w:widowControl w:val="0"/>
              <w:spacing w:after="0" w:line="240" w:lineRule="auto"/>
              <w:rPr>
                <w:b/>
              </w:rPr>
            </w:pPr>
          </w:p>
        </w:tc>
        <w:tc>
          <w:tcPr>
            <w:tcW w:w="1393" w:type="dxa"/>
          </w:tcPr>
          <w:p w:rsidR="005D4F50" w:rsidRDefault="002420D6">
            <w:pPr>
              <w:keepNext/>
              <w:widowControl w:val="0"/>
              <w:spacing w:after="0" w:line="240" w:lineRule="auto"/>
              <w:jc w:val="center"/>
              <w:rPr>
                <w:b/>
              </w:rPr>
            </w:pPr>
            <w:r>
              <w:rPr>
                <w:b/>
              </w:rPr>
              <w:t>Total</w:t>
            </w:r>
          </w:p>
        </w:tc>
        <w:tc>
          <w:tcPr>
            <w:tcW w:w="1393" w:type="dxa"/>
          </w:tcPr>
          <w:p w:rsidR="005D4F50" w:rsidRDefault="002420D6">
            <w:pPr>
              <w:keepNext/>
              <w:widowControl w:val="0"/>
              <w:spacing w:after="0" w:line="240" w:lineRule="auto"/>
              <w:jc w:val="center"/>
              <w:rPr>
                <w:b/>
                <w:szCs w:val="24"/>
              </w:rPr>
            </w:pPr>
            <w:r>
              <w:rPr>
                <w:b/>
              </w:rPr>
              <w:t>Women Business Enterprises</w:t>
            </w:r>
          </w:p>
        </w:tc>
        <w:tc>
          <w:tcPr>
            <w:tcW w:w="1393" w:type="dxa"/>
          </w:tcPr>
          <w:p w:rsidR="005D4F50" w:rsidRDefault="002420D6">
            <w:pPr>
              <w:keepNext/>
              <w:widowControl w:val="0"/>
              <w:spacing w:after="0" w:line="240" w:lineRule="auto"/>
              <w:jc w:val="center"/>
              <w:rPr>
                <w:b/>
                <w:szCs w:val="24"/>
              </w:rPr>
            </w:pPr>
            <w:r>
              <w:rPr>
                <w:b/>
              </w:rPr>
              <w:t>Male</w:t>
            </w:r>
          </w:p>
        </w:tc>
      </w:tr>
    </w:tbl>
    <w:p w:rsidR="005D4F50" w:rsidRDefault="005D4F50">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5D4F50">
        <w:trPr>
          <w:cantSplit/>
        </w:trPr>
        <w:tc>
          <w:tcPr>
            <w:tcW w:w="5485" w:type="dxa"/>
            <w:gridSpan w:val="4"/>
          </w:tcPr>
          <w:p w:rsidR="005D4F50" w:rsidRDefault="002420D6">
            <w:pPr>
              <w:keepNext/>
              <w:widowControl w:val="0"/>
              <w:spacing w:after="0" w:line="240" w:lineRule="auto"/>
              <w:rPr>
                <w:b/>
              </w:rPr>
            </w:pPr>
            <w:r>
              <w:rPr>
                <w:b/>
              </w:rPr>
              <w:t>Contracts</w:t>
            </w:r>
          </w:p>
        </w:tc>
      </w:tr>
      <w:tr w:rsidR="005D4F50">
        <w:trPr>
          <w:cantSplit/>
          <w:hidden/>
        </w:trPr>
        <w:tc>
          <w:tcPr>
            <w:tcW w:w="1393" w:type="dxa"/>
          </w:tcPr>
          <w:p w:rsidR="005D4F50" w:rsidRDefault="005D4F50">
            <w:pPr>
              <w:keepNext/>
              <w:widowControl w:val="0"/>
              <w:spacing w:after="0" w:line="240" w:lineRule="auto"/>
              <w:rPr>
                <w:b/>
                <w:vanish/>
              </w:rPr>
            </w:pPr>
          </w:p>
        </w:tc>
        <w:tc>
          <w:tcPr>
            <w:tcW w:w="1364" w:type="dxa"/>
          </w:tcPr>
          <w:p w:rsidR="005D4F50" w:rsidRDefault="005D4F50">
            <w:pPr>
              <w:keepNext/>
              <w:widowControl w:val="0"/>
              <w:spacing w:after="0" w:line="240" w:lineRule="auto"/>
              <w:rPr>
                <w:b/>
                <w:vanish/>
              </w:rPr>
            </w:pPr>
          </w:p>
        </w:tc>
        <w:tc>
          <w:tcPr>
            <w:tcW w:w="1364" w:type="dxa"/>
          </w:tcPr>
          <w:p w:rsidR="005D4F50" w:rsidRDefault="005D4F50">
            <w:pPr>
              <w:keepNext/>
              <w:widowControl w:val="0"/>
              <w:spacing w:after="0" w:line="240" w:lineRule="auto"/>
              <w:rPr>
                <w:b/>
                <w:vanish/>
              </w:rPr>
            </w:pPr>
          </w:p>
        </w:tc>
        <w:tc>
          <w:tcPr>
            <w:tcW w:w="1364" w:type="dxa"/>
          </w:tcPr>
          <w:p w:rsidR="005D4F50" w:rsidRDefault="005D4F50">
            <w:pPr>
              <w:keepNext/>
              <w:widowControl w:val="0"/>
              <w:spacing w:after="0" w:line="240" w:lineRule="auto"/>
              <w:rPr>
                <w:b/>
                <w:vanish/>
              </w:rPr>
            </w:pPr>
          </w:p>
        </w:tc>
      </w:tr>
      <w:tr w:rsidR="005D4F50">
        <w:trPr>
          <w:cantSplit/>
        </w:trPr>
        <w:tc>
          <w:tcPr>
            <w:tcW w:w="1393" w:type="dxa"/>
          </w:tcPr>
          <w:p w:rsidR="005D4F50" w:rsidRDefault="002420D6">
            <w:pPr>
              <w:spacing w:beforeAutospacing="1" w:afterAutospacing="1"/>
            </w:pPr>
            <w:r>
              <w:rPr>
                <w:color w:val="000000"/>
              </w:rPr>
              <w:t>Dollar Amount</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r>
      <w:tr w:rsidR="005D4F50">
        <w:trPr>
          <w:cantSplit/>
        </w:trPr>
        <w:tc>
          <w:tcPr>
            <w:tcW w:w="1393" w:type="dxa"/>
          </w:tcPr>
          <w:p w:rsidR="005D4F50" w:rsidRDefault="002420D6">
            <w:pPr>
              <w:spacing w:beforeAutospacing="1" w:afterAutospacing="1"/>
            </w:pPr>
            <w:r>
              <w:rPr>
                <w:color w:val="000000"/>
              </w:rPr>
              <w:t>Number</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r>
    </w:tbl>
    <w:p w:rsidR="005D4F50" w:rsidRDefault="005D4F50">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5D4F50">
        <w:trPr>
          <w:cantSplit/>
        </w:trPr>
        <w:tc>
          <w:tcPr>
            <w:tcW w:w="5485" w:type="dxa"/>
            <w:gridSpan w:val="4"/>
          </w:tcPr>
          <w:p w:rsidR="005D4F50" w:rsidRDefault="002420D6">
            <w:pPr>
              <w:keepNext/>
              <w:widowControl w:val="0"/>
              <w:spacing w:after="0" w:line="240" w:lineRule="auto"/>
              <w:rPr>
                <w:b/>
              </w:rPr>
            </w:pPr>
            <w:r>
              <w:rPr>
                <w:b/>
              </w:rPr>
              <w:t>Sub-Contracts</w:t>
            </w:r>
          </w:p>
        </w:tc>
      </w:tr>
      <w:tr w:rsidR="005D4F50">
        <w:trPr>
          <w:cantSplit/>
          <w:hidden/>
        </w:trPr>
        <w:tc>
          <w:tcPr>
            <w:tcW w:w="1393" w:type="dxa"/>
          </w:tcPr>
          <w:p w:rsidR="005D4F50" w:rsidRDefault="005D4F50">
            <w:pPr>
              <w:keepNext/>
              <w:widowControl w:val="0"/>
              <w:spacing w:after="0" w:line="240" w:lineRule="auto"/>
              <w:rPr>
                <w:b/>
                <w:vanish/>
              </w:rPr>
            </w:pPr>
          </w:p>
        </w:tc>
        <w:tc>
          <w:tcPr>
            <w:tcW w:w="1364" w:type="dxa"/>
          </w:tcPr>
          <w:p w:rsidR="005D4F50" w:rsidRDefault="005D4F50">
            <w:pPr>
              <w:keepNext/>
              <w:widowControl w:val="0"/>
              <w:spacing w:after="0" w:line="240" w:lineRule="auto"/>
              <w:rPr>
                <w:b/>
                <w:vanish/>
              </w:rPr>
            </w:pPr>
          </w:p>
        </w:tc>
        <w:tc>
          <w:tcPr>
            <w:tcW w:w="1364" w:type="dxa"/>
          </w:tcPr>
          <w:p w:rsidR="005D4F50" w:rsidRDefault="005D4F50">
            <w:pPr>
              <w:keepNext/>
              <w:widowControl w:val="0"/>
              <w:spacing w:after="0" w:line="240" w:lineRule="auto"/>
              <w:rPr>
                <w:b/>
                <w:vanish/>
              </w:rPr>
            </w:pPr>
          </w:p>
        </w:tc>
        <w:tc>
          <w:tcPr>
            <w:tcW w:w="1364" w:type="dxa"/>
          </w:tcPr>
          <w:p w:rsidR="005D4F50" w:rsidRDefault="005D4F50">
            <w:pPr>
              <w:keepNext/>
              <w:widowControl w:val="0"/>
              <w:spacing w:after="0" w:line="240" w:lineRule="auto"/>
              <w:rPr>
                <w:b/>
                <w:vanish/>
              </w:rPr>
            </w:pPr>
          </w:p>
        </w:tc>
      </w:tr>
      <w:tr w:rsidR="005D4F50">
        <w:trPr>
          <w:cantSplit/>
        </w:trPr>
        <w:tc>
          <w:tcPr>
            <w:tcW w:w="1393" w:type="dxa"/>
          </w:tcPr>
          <w:p w:rsidR="005D4F50" w:rsidRDefault="002420D6">
            <w:pPr>
              <w:spacing w:beforeAutospacing="1" w:afterAutospacing="1"/>
            </w:pPr>
            <w:r>
              <w:rPr>
                <w:color w:val="000000"/>
              </w:rPr>
              <w:t>Number</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r>
      <w:tr w:rsidR="005D4F50">
        <w:trPr>
          <w:cantSplit/>
        </w:trPr>
        <w:tc>
          <w:tcPr>
            <w:tcW w:w="1393" w:type="dxa"/>
          </w:tcPr>
          <w:p w:rsidR="005D4F50" w:rsidRDefault="002420D6">
            <w:pPr>
              <w:spacing w:beforeAutospacing="1" w:afterAutospacing="1"/>
            </w:pPr>
            <w:r>
              <w:rPr>
                <w:color w:val="000000"/>
              </w:rPr>
              <w:t>Dollar Amount</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c>
          <w:tcPr>
            <w:tcW w:w="1364" w:type="dxa"/>
            <w:vAlign w:val="bottom"/>
          </w:tcPr>
          <w:p w:rsidR="005D4F50" w:rsidRDefault="002420D6">
            <w:pPr>
              <w:spacing w:beforeAutospacing="1" w:afterAutospacing="1"/>
              <w:jc w:val="right"/>
            </w:pPr>
            <w:r>
              <w:rPr>
                <w:color w:val="000000"/>
              </w:rPr>
              <w:t>0</w:t>
            </w:r>
          </w:p>
        </w:tc>
      </w:tr>
    </w:tbl>
    <w:p w:rsidR="005D4F50" w:rsidRDefault="002420D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8</w:t>
      </w:r>
      <w:r>
        <w:rPr>
          <w:rFonts w:asciiTheme="minorHAnsi" w:hAnsiTheme="minorHAnsi"/>
        </w:rPr>
        <w:fldChar w:fldCharType="end"/>
      </w:r>
      <w:r>
        <w:rPr>
          <w:rFonts w:asciiTheme="minorHAnsi" w:hAnsiTheme="minorHAnsi"/>
        </w:rPr>
        <w:t xml:space="preserve"> - Minority Business and Women Business Enterprises</w:t>
      </w:r>
    </w:p>
    <w:p w:rsidR="005D4F50" w:rsidRDefault="005D4F50">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4F50">
        <w:tc>
          <w:tcPr>
            <w:tcW w:w="9576" w:type="dxa"/>
          </w:tcPr>
          <w:p w:rsidR="005D4F50" w:rsidRDefault="002420D6">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rsidR="005D4F50" w:rsidRDefault="005D4F5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5D4F50">
        <w:tc>
          <w:tcPr>
            <w:tcW w:w="1408" w:type="dxa"/>
            <w:vMerge w:val="restart"/>
          </w:tcPr>
          <w:p w:rsidR="005D4F50" w:rsidRDefault="005D4F50">
            <w:pPr>
              <w:keepNext/>
              <w:widowControl w:val="0"/>
              <w:spacing w:after="0" w:line="240" w:lineRule="auto"/>
              <w:jc w:val="center"/>
              <w:rPr>
                <w:b/>
              </w:rPr>
            </w:pPr>
          </w:p>
        </w:tc>
        <w:tc>
          <w:tcPr>
            <w:tcW w:w="809" w:type="dxa"/>
            <w:vMerge w:val="restart"/>
          </w:tcPr>
          <w:p w:rsidR="005D4F50" w:rsidRDefault="002420D6">
            <w:pPr>
              <w:keepNext/>
              <w:widowControl w:val="0"/>
              <w:spacing w:after="0" w:line="240" w:lineRule="auto"/>
              <w:jc w:val="center"/>
              <w:rPr>
                <w:b/>
              </w:rPr>
            </w:pPr>
            <w:r>
              <w:rPr>
                <w:b/>
              </w:rPr>
              <w:t>Total</w:t>
            </w:r>
          </w:p>
        </w:tc>
        <w:tc>
          <w:tcPr>
            <w:tcW w:w="5891" w:type="dxa"/>
            <w:gridSpan w:val="4"/>
          </w:tcPr>
          <w:p w:rsidR="005D4F50" w:rsidRDefault="002420D6">
            <w:pPr>
              <w:keepNext/>
              <w:widowControl w:val="0"/>
              <w:spacing w:after="0" w:line="240" w:lineRule="auto"/>
              <w:jc w:val="center"/>
              <w:rPr>
                <w:b/>
              </w:rPr>
            </w:pPr>
            <w:r>
              <w:rPr>
                <w:b/>
              </w:rPr>
              <w:t>Minority Property Owners</w:t>
            </w:r>
          </w:p>
        </w:tc>
        <w:tc>
          <w:tcPr>
            <w:tcW w:w="1468" w:type="dxa"/>
            <w:vMerge w:val="restart"/>
          </w:tcPr>
          <w:p w:rsidR="005D4F50" w:rsidRDefault="002420D6">
            <w:pPr>
              <w:keepNext/>
              <w:widowControl w:val="0"/>
              <w:spacing w:after="0" w:line="240" w:lineRule="auto"/>
              <w:jc w:val="center"/>
              <w:rPr>
                <w:b/>
              </w:rPr>
            </w:pPr>
            <w:r>
              <w:rPr>
                <w:b/>
              </w:rPr>
              <w:t>White Non-Hispanic</w:t>
            </w:r>
          </w:p>
        </w:tc>
      </w:tr>
      <w:tr w:rsidR="005D4F50">
        <w:tc>
          <w:tcPr>
            <w:tcW w:w="1408" w:type="dxa"/>
            <w:vMerge/>
          </w:tcPr>
          <w:p w:rsidR="005D4F50" w:rsidRDefault="005D4F50">
            <w:pPr>
              <w:keepNext/>
              <w:widowControl w:val="0"/>
              <w:spacing w:after="0" w:line="240" w:lineRule="auto"/>
              <w:jc w:val="center"/>
              <w:rPr>
                <w:b/>
              </w:rPr>
            </w:pPr>
          </w:p>
        </w:tc>
        <w:tc>
          <w:tcPr>
            <w:tcW w:w="809" w:type="dxa"/>
            <w:vMerge/>
          </w:tcPr>
          <w:p w:rsidR="005D4F50" w:rsidRDefault="005D4F50">
            <w:pPr>
              <w:keepNext/>
              <w:widowControl w:val="0"/>
              <w:spacing w:after="0" w:line="240" w:lineRule="auto"/>
              <w:jc w:val="center"/>
              <w:rPr>
                <w:b/>
              </w:rPr>
            </w:pPr>
          </w:p>
        </w:tc>
        <w:tc>
          <w:tcPr>
            <w:tcW w:w="1523" w:type="dxa"/>
          </w:tcPr>
          <w:p w:rsidR="005D4F50" w:rsidRDefault="002420D6">
            <w:pPr>
              <w:keepNext/>
              <w:widowControl w:val="0"/>
              <w:jc w:val="center"/>
              <w:rPr>
                <w:b/>
              </w:rPr>
            </w:pPr>
            <w:r>
              <w:rPr>
                <w:b/>
              </w:rPr>
              <w:t>Alaskan Native or American Indian</w:t>
            </w:r>
          </w:p>
        </w:tc>
        <w:tc>
          <w:tcPr>
            <w:tcW w:w="1432" w:type="dxa"/>
          </w:tcPr>
          <w:p w:rsidR="005D4F50" w:rsidRDefault="002420D6">
            <w:pPr>
              <w:keepNext/>
              <w:widowControl w:val="0"/>
              <w:ind w:right="-28"/>
              <w:jc w:val="center"/>
              <w:rPr>
                <w:b/>
              </w:rPr>
            </w:pPr>
            <w:r>
              <w:rPr>
                <w:b/>
              </w:rPr>
              <w:t>Asian or Pacific Islander</w:t>
            </w:r>
          </w:p>
        </w:tc>
        <w:tc>
          <w:tcPr>
            <w:tcW w:w="1468" w:type="dxa"/>
          </w:tcPr>
          <w:p w:rsidR="005D4F50" w:rsidRDefault="002420D6">
            <w:pPr>
              <w:keepNext/>
              <w:widowControl w:val="0"/>
              <w:jc w:val="center"/>
              <w:rPr>
                <w:b/>
              </w:rPr>
            </w:pPr>
            <w:r>
              <w:rPr>
                <w:b/>
              </w:rPr>
              <w:t>Black Non-Hispanic</w:t>
            </w:r>
          </w:p>
        </w:tc>
        <w:tc>
          <w:tcPr>
            <w:tcW w:w="1468" w:type="dxa"/>
          </w:tcPr>
          <w:p w:rsidR="005D4F50" w:rsidRDefault="002420D6">
            <w:pPr>
              <w:keepNext/>
              <w:widowControl w:val="0"/>
              <w:jc w:val="center"/>
              <w:rPr>
                <w:b/>
              </w:rPr>
            </w:pPr>
            <w:r>
              <w:rPr>
                <w:b/>
              </w:rPr>
              <w:t>Hispanic</w:t>
            </w:r>
          </w:p>
        </w:tc>
        <w:tc>
          <w:tcPr>
            <w:tcW w:w="1468" w:type="dxa"/>
            <w:vMerge/>
          </w:tcPr>
          <w:p w:rsidR="005D4F50" w:rsidRDefault="005D4F50">
            <w:pPr>
              <w:keepNext/>
              <w:widowControl w:val="0"/>
              <w:spacing w:after="0" w:line="240" w:lineRule="auto"/>
              <w:jc w:val="center"/>
              <w:rPr>
                <w:b/>
              </w:rPr>
            </w:pPr>
          </w:p>
        </w:tc>
      </w:tr>
      <w:tr w:rsidR="005D4F50">
        <w:trPr>
          <w:cantSplit/>
        </w:trPr>
        <w:tc>
          <w:tcPr>
            <w:tcW w:w="1411" w:type="dxa"/>
          </w:tcPr>
          <w:p w:rsidR="005D4F50" w:rsidRDefault="002420D6">
            <w:pPr>
              <w:spacing w:beforeAutospacing="1" w:afterAutospacing="1"/>
            </w:pPr>
            <w:r>
              <w:rPr>
                <w:color w:val="000000"/>
              </w:rPr>
              <w:t>Number</w:t>
            </w:r>
          </w:p>
        </w:tc>
        <w:tc>
          <w:tcPr>
            <w:tcW w:w="810" w:type="dxa"/>
            <w:vAlign w:val="bottom"/>
          </w:tcPr>
          <w:p w:rsidR="005D4F50" w:rsidRDefault="002420D6">
            <w:pPr>
              <w:spacing w:beforeAutospacing="1" w:afterAutospacing="1"/>
              <w:jc w:val="right"/>
            </w:pPr>
            <w:r>
              <w:rPr>
                <w:color w:val="000000"/>
              </w:rPr>
              <w:t>0</w:t>
            </w:r>
          </w:p>
        </w:tc>
        <w:tc>
          <w:tcPr>
            <w:tcW w:w="1525" w:type="dxa"/>
            <w:vAlign w:val="bottom"/>
          </w:tcPr>
          <w:p w:rsidR="005D4F50" w:rsidRDefault="002420D6">
            <w:pPr>
              <w:spacing w:beforeAutospacing="1" w:afterAutospacing="1"/>
              <w:jc w:val="right"/>
            </w:pPr>
            <w:r>
              <w:rPr>
                <w:color w:val="000000"/>
              </w:rPr>
              <w:t>0</w:t>
            </w:r>
          </w:p>
        </w:tc>
        <w:tc>
          <w:tcPr>
            <w:tcW w:w="1434" w:type="dxa"/>
            <w:vAlign w:val="bottom"/>
          </w:tcPr>
          <w:p w:rsidR="005D4F50" w:rsidRDefault="002420D6">
            <w:pPr>
              <w:spacing w:beforeAutospacing="1" w:afterAutospacing="1"/>
              <w:jc w:val="right"/>
            </w:pPr>
            <w:r>
              <w:rPr>
                <w:color w:val="000000"/>
              </w:rPr>
              <w:t>0</w:t>
            </w:r>
          </w:p>
        </w:tc>
        <w:tc>
          <w:tcPr>
            <w:tcW w:w="1470" w:type="dxa"/>
            <w:vAlign w:val="bottom"/>
          </w:tcPr>
          <w:p w:rsidR="005D4F50" w:rsidRDefault="002420D6">
            <w:pPr>
              <w:spacing w:beforeAutospacing="1" w:afterAutospacing="1"/>
              <w:jc w:val="right"/>
            </w:pPr>
            <w:r>
              <w:rPr>
                <w:color w:val="000000"/>
              </w:rPr>
              <w:t>0</w:t>
            </w:r>
          </w:p>
        </w:tc>
        <w:tc>
          <w:tcPr>
            <w:tcW w:w="1470" w:type="dxa"/>
            <w:vAlign w:val="bottom"/>
          </w:tcPr>
          <w:p w:rsidR="005D4F50" w:rsidRDefault="002420D6">
            <w:pPr>
              <w:spacing w:beforeAutospacing="1" w:afterAutospacing="1"/>
              <w:jc w:val="right"/>
            </w:pPr>
            <w:r>
              <w:rPr>
                <w:color w:val="000000"/>
              </w:rPr>
              <w:t>0</w:t>
            </w:r>
          </w:p>
        </w:tc>
        <w:tc>
          <w:tcPr>
            <w:tcW w:w="1470" w:type="dxa"/>
            <w:vAlign w:val="bottom"/>
          </w:tcPr>
          <w:p w:rsidR="005D4F50" w:rsidRDefault="002420D6">
            <w:pPr>
              <w:spacing w:beforeAutospacing="1" w:afterAutospacing="1"/>
              <w:jc w:val="right"/>
            </w:pPr>
            <w:r>
              <w:rPr>
                <w:color w:val="000000"/>
              </w:rPr>
              <w:t>0</w:t>
            </w:r>
          </w:p>
        </w:tc>
      </w:tr>
      <w:tr w:rsidR="005D4F50">
        <w:trPr>
          <w:cantSplit/>
        </w:trPr>
        <w:tc>
          <w:tcPr>
            <w:tcW w:w="1411" w:type="dxa"/>
          </w:tcPr>
          <w:p w:rsidR="005D4F50" w:rsidRDefault="002420D6">
            <w:pPr>
              <w:spacing w:beforeAutospacing="1" w:afterAutospacing="1"/>
            </w:pPr>
            <w:r>
              <w:rPr>
                <w:color w:val="000000"/>
              </w:rPr>
              <w:t>Dollar Amount</w:t>
            </w:r>
          </w:p>
        </w:tc>
        <w:tc>
          <w:tcPr>
            <w:tcW w:w="810" w:type="dxa"/>
            <w:vAlign w:val="bottom"/>
          </w:tcPr>
          <w:p w:rsidR="005D4F50" w:rsidRDefault="002420D6">
            <w:pPr>
              <w:spacing w:beforeAutospacing="1" w:afterAutospacing="1"/>
              <w:jc w:val="right"/>
            </w:pPr>
            <w:r>
              <w:rPr>
                <w:color w:val="000000"/>
              </w:rPr>
              <w:t>0</w:t>
            </w:r>
          </w:p>
        </w:tc>
        <w:tc>
          <w:tcPr>
            <w:tcW w:w="1525" w:type="dxa"/>
            <w:vAlign w:val="bottom"/>
          </w:tcPr>
          <w:p w:rsidR="005D4F50" w:rsidRDefault="002420D6">
            <w:pPr>
              <w:spacing w:beforeAutospacing="1" w:afterAutospacing="1"/>
              <w:jc w:val="right"/>
            </w:pPr>
            <w:r>
              <w:rPr>
                <w:color w:val="000000"/>
              </w:rPr>
              <w:t>0</w:t>
            </w:r>
          </w:p>
        </w:tc>
        <w:tc>
          <w:tcPr>
            <w:tcW w:w="1434" w:type="dxa"/>
            <w:vAlign w:val="bottom"/>
          </w:tcPr>
          <w:p w:rsidR="005D4F50" w:rsidRDefault="002420D6">
            <w:pPr>
              <w:spacing w:beforeAutospacing="1" w:afterAutospacing="1"/>
              <w:jc w:val="right"/>
            </w:pPr>
            <w:r>
              <w:rPr>
                <w:color w:val="000000"/>
              </w:rPr>
              <w:t>0</w:t>
            </w:r>
          </w:p>
        </w:tc>
        <w:tc>
          <w:tcPr>
            <w:tcW w:w="1470" w:type="dxa"/>
            <w:vAlign w:val="bottom"/>
          </w:tcPr>
          <w:p w:rsidR="005D4F50" w:rsidRDefault="002420D6">
            <w:pPr>
              <w:spacing w:beforeAutospacing="1" w:afterAutospacing="1"/>
              <w:jc w:val="right"/>
            </w:pPr>
            <w:r>
              <w:rPr>
                <w:color w:val="000000"/>
              </w:rPr>
              <w:t>0</w:t>
            </w:r>
          </w:p>
        </w:tc>
        <w:tc>
          <w:tcPr>
            <w:tcW w:w="1470" w:type="dxa"/>
            <w:vAlign w:val="bottom"/>
          </w:tcPr>
          <w:p w:rsidR="005D4F50" w:rsidRDefault="002420D6">
            <w:pPr>
              <w:spacing w:beforeAutospacing="1" w:afterAutospacing="1"/>
              <w:jc w:val="right"/>
            </w:pPr>
            <w:r>
              <w:rPr>
                <w:color w:val="000000"/>
              </w:rPr>
              <w:t>0</w:t>
            </w:r>
          </w:p>
        </w:tc>
        <w:tc>
          <w:tcPr>
            <w:tcW w:w="1470" w:type="dxa"/>
            <w:vAlign w:val="bottom"/>
          </w:tcPr>
          <w:p w:rsidR="005D4F50" w:rsidRDefault="002420D6">
            <w:pPr>
              <w:spacing w:beforeAutospacing="1" w:afterAutospacing="1"/>
              <w:jc w:val="right"/>
            </w:pPr>
            <w:r>
              <w:rPr>
                <w:color w:val="000000"/>
              </w:rPr>
              <w:t>0</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9</w:t>
      </w:r>
      <w:r>
        <w:rPr>
          <w:rFonts w:asciiTheme="minorHAnsi" w:hAnsiTheme="minorHAnsi"/>
        </w:rPr>
        <w:fldChar w:fldCharType="end"/>
      </w:r>
      <w:r>
        <w:rPr>
          <w:rFonts w:asciiTheme="minorHAnsi" w:hAnsiTheme="minorHAnsi"/>
        </w:rPr>
        <w:t xml:space="preserve"> – Minority Owners of Rental Property</w:t>
      </w:r>
    </w:p>
    <w:p w:rsidR="005D4F50" w:rsidRDefault="005D4F50">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4F50">
        <w:tc>
          <w:tcPr>
            <w:tcW w:w="13176" w:type="dxa"/>
          </w:tcPr>
          <w:p w:rsidR="005D4F50" w:rsidRDefault="002420D6">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rsidR="005D4F50" w:rsidRDefault="005D4F50">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5D4F50">
        <w:trPr>
          <w:cantSplit/>
          <w:hidden/>
        </w:trPr>
        <w:tc>
          <w:tcPr>
            <w:tcW w:w="4392" w:type="dxa"/>
          </w:tcPr>
          <w:p w:rsidR="005D4F50" w:rsidRDefault="005D4F50">
            <w:pPr>
              <w:keepNext/>
              <w:widowControl w:val="0"/>
              <w:spacing w:after="0" w:line="240" w:lineRule="auto"/>
              <w:rPr>
                <w:b/>
                <w:vanish/>
              </w:rPr>
            </w:pPr>
          </w:p>
        </w:tc>
        <w:tc>
          <w:tcPr>
            <w:tcW w:w="2314" w:type="dxa"/>
          </w:tcPr>
          <w:p w:rsidR="005D4F50" w:rsidRDefault="002420D6">
            <w:pPr>
              <w:keepNext/>
              <w:widowControl w:val="0"/>
              <w:spacing w:after="0" w:line="240" w:lineRule="auto"/>
              <w:jc w:val="center"/>
              <w:rPr>
                <w:b/>
                <w:vanish/>
              </w:rPr>
            </w:pPr>
            <w:r>
              <w:rPr>
                <w:b/>
                <w:vanish/>
              </w:rPr>
              <w:t>Number</w:t>
            </w:r>
          </w:p>
        </w:tc>
        <w:tc>
          <w:tcPr>
            <w:tcW w:w="2314" w:type="dxa"/>
          </w:tcPr>
          <w:p w:rsidR="005D4F50" w:rsidRDefault="002420D6">
            <w:pPr>
              <w:keepNext/>
              <w:widowControl w:val="0"/>
              <w:spacing w:after="0" w:line="240" w:lineRule="auto"/>
              <w:jc w:val="center"/>
              <w:rPr>
                <w:b/>
                <w:vanish/>
              </w:rPr>
            </w:pPr>
            <w:r>
              <w:rPr>
                <w:b/>
                <w:vanish/>
              </w:rPr>
              <w:t>Cost</w:t>
            </w:r>
          </w:p>
        </w:tc>
      </w:tr>
      <w:tr w:rsidR="005D4F50">
        <w:trPr>
          <w:cantSplit/>
        </w:trPr>
        <w:tc>
          <w:tcPr>
            <w:tcW w:w="3163" w:type="dxa"/>
          </w:tcPr>
          <w:p w:rsidR="005D4F50" w:rsidRDefault="002420D6">
            <w:pPr>
              <w:spacing w:beforeAutospacing="1" w:afterAutospacing="1"/>
            </w:pPr>
            <w:r>
              <w:rPr>
                <w:color w:val="000000"/>
              </w:rPr>
              <w:t>Parcels Acquired</w:t>
            </w:r>
          </w:p>
        </w:tc>
        <w:tc>
          <w:tcPr>
            <w:tcW w:w="1701" w:type="dxa"/>
            <w:vAlign w:val="bottom"/>
          </w:tcPr>
          <w:p w:rsidR="005D4F50" w:rsidRDefault="002420D6">
            <w:pPr>
              <w:spacing w:beforeAutospacing="1" w:afterAutospacing="1"/>
              <w:jc w:val="right"/>
            </w:pPr>
            <w:r>
              <w:rPr>
                <w:color w:val="000000"/>
              </w:rPr>
              <w:t>0</w:t>
            </w:r>
          </w:p>
        </w:tc>
        <w:tc>
          <w:tcPr>
            <w:tcW w:w="1701" w:type="dxa"/>
            <w:vAlign w:val="bottom"/>
          </w:tcPr>
          <w:p w:rsidR="005D4F50" w:rsidRDefault="002420D6">
            <w:pPr>
              <w:spacing w:beforeAutospacing="1" w:afterAutospacing="1"/>
              <w:jc w:val="right"/>
            </w:pPr>
            <w:r>
              <w:rPr>
                <w:color w:val="000000"/>
              </w:rPr>
              <w:t>0</w:t>
            </w:r>
          </w:p>
        </w:tc>
      </w:tr>
      <w:tr w:rsidR="005D4F50">
        <w:trPr>
          <w:cantSplit/>
        </w:trPr>
        <w:tc>
          <w:tcPr>
            <w:tcW w:w="3163" w:type="dxa"/>
          </w:tcPr>
          <w:p w:rsidR="005D4F50" w:rsidRDefault="002420D6">
            <w:pPr>
              <w:spacing w:beforeAutospacing="1" w:afterAutospacing="1"/>
            </w:pPr>
            <w:r>
              <w:rPr>
                <w:color w:val="000000"/>
              </w:rPr>
              <w:t>Businesses Displaced</w:t>
            </w:r>
          </w:p>
        </w:tc>
        <w:tc>
          <w:tcPr>
            <w:tcW w:w="1701" w:type="dxa"/>
            <w:vAlign w:val="bottom"/>
          </w:tcPr>
          <w:p w:rsidR="005D4F50" w:rsidRDefault="002420D6">
            <w:pPr>
              <w:spacing w:beforeAutospacing="1" w:afterAutospacing="1"/>
              <w:jc w:val="right"/>
            </w:pPr>
            <w:r>
              <w:rPr>
                <w:color w:val="000000"/>
              </w:rPr>
              <w:t>0</w:t>
            </w:r>
          </w:p>
        </w:tc>
        <w:tc>
          <w:tcPr>
            <w:tcW w:w="1701" w:type="dxa"/>
            <w:vAlign w:val="bottom"/>
          </w:tcPr>
          <w:p w:rsidR="005D4F50" w:rsidRDefault="002420D6">
            <w:pPr>
              <w:spacing w:beforeAutospacing="1" w:afterAutospacing="1"/>
              <w:jc w:val="right"/>
            </w:pPr>
            <w:r>
              <w:rPr>
                <w:color w:val="000000"/>
              </w:rPr>
              <w:t>0</w:t>
            </w:r>
          </w:p>
        </w:tc>
      </w:tr>
      <w:tr w:rsidR="005D4F50">
        <w:trPr>
          <w:cantSplit/>
        </w:trPr>
        <w:tc>
          <w:tcPr>
            <w:tcW w:w="3163" w:type="dxa"/>
          </w:tcPr>
          <w:p w:rsidR="005D4F50" w:rsidRDefault="002420D6">
            <w:pPr>
              <w:spacing w:beforeAutospacing="1" w:afterAutospacing="1"/>
            </w:pPr>
            <w:r>
              <w:rPr>
                <w:color w:val="000000"/>
              </w:rPr>
              <w:t>Nonprofit Organizations Displaced</w:t>
            </w:r>
          </w:p>
        </w:tc>
        <w:tc>
          <w:tcPr>
            <w:tcW w:w="1701" w:type="dxa"/>
            <w:vAlign w:val="bottom"/>
          </w:tcPr>
          <w:p w:rsidR="005D4F50" w:rsidRDefault="002420D6">
            <w:pPr>
              <w:spacing w:beforeAutospacing="1" w:afterAutospacing="1"/>
              <w:jc w:val="right"/>
            </w:pPr>
            <w:r>
              <w:rPr>
                <w:color w:val="000000"/>
              </w:rPr>
              <w:t>0</w:t>
            </w:r>
          </w:p>
        </w:tc>
        <w:tc>
          <w:tcPr>
            <w:tcW w:w="1701" w:type="dxa"/>
            <w:vAlign w:val="bottom"/>
          </w:tcPr>
          <w:p w:rsidR="005D4F50" w:rsidRDefault="002420D6">
            <w:pPr>
              <w:spacing w:beforeAutospacing="1" w:afterAutospacing="1"/>
              <w:jc w:val="right"/>
            </w:pPr>
            <w:r>
              <w:rPr>
                <w:color w:val="000000"/>
              </w:rPr>
              <w:t>0</w:t>
            </w:r>
          </w:p>
        </w:tc>
      </w:tr>
      <w:tr w:rsidR="005D4F50">
        <w:trPr>
          <w:cantSplit/>
        </w:trPr>
        <w:tc>
          <w:tcPr>
            <w:tcW w:w="3163" w:type="dxa"/>
          </w:tcPr>
          <w:p w:rsidR="005D4F50" w:rsidRDefault="002420D6">
            <w:pPr>
              <w:spacing w:beforeAutospacing="1" w:afterAutospacing="1"/>
            </w:pPr>
            <w:r>
              <w:rPr>
                <w:color w:val="000000"/>
              </w:rPr>
              <w:t>Households Temporarily Relocated, not Displaced</w:t>
            </w:r>
          </w:p>
        </w:tc>
        <w:tc>
          <w:tcPr>
            <w:tcW w:w="1701" w:type="dxa"/>
            <w:vAlign w:val="bottom"/>
          </w:tcPr>
          <w:p w:rsidR="005D4F50" w:rsidRDefault="002420D6">
            <w:pPr>
              <w:spacing w:beforeAutospacing="1" w:afterAutospacing="1"/>
              <w:jc w:val="right"/>
            </w:pPr>
            <w:r>
              <w:rPr>
                <w:color w:val="000000"/>
              </w:rPr>
              <w:t>0</w:t>
            </w:r>
          </w:p>
        </w:tc>
        <w:tc>
          <w:tcPr>
            <w:tcW w:w="1701" w:type="dxa"/>
            <w:vAlign w:val="bottom"/>
          </w:tcPr>
          <w:p w:rsidR="005D4F50" w:rsidRDefault="002420D6">
            <w:pPr>
              <w:spacing w:beforeAutospacing="1" w:afterAutospacing="1"/>
              <w:jc w:val="right"/>
            </w:pPr>
            <w:r>
              <w:rPr>
                <w:color w:val="000000"/>
              </w:rPr>
              <w:t>0</w:t>
            </w:r>
          </w:p>
        </w:tc>
      </w:tr>
    </w:tbl>
    <w:p w:rsidR="005D4F50" w:rsidRDefault="005D4F50">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5D4F50">
        <w:trPr>
          <w:cantSplit/>
        </w:trPr>
        <w:tc>
          <w:tcPr>
            <w:tcW w:w="1572" w:type="dxa"/>
            <w:vMerge w:val="restart"/>
          </w:tcPr>
          <w:p w:rsidR="005D4F50" w:rsidRDefault="002420D6">
            <w:pPr>
              <w:keepNext/>
              <w:widowControl w:val="0"/>
              <w:spacing w:after="0" w:line="240" w:lineRule="auto"/>
              <w:jc w:val="center"/>
              <w:rPr>
                <w:b/>
              </w:rPr>
            </w:pPr>
            <w:r>
              <w:rPr>
                <w:b/>
              </w:rPr>
              <w:t>Households Displaced</w:t>
            </w:r>
          </w:p>
        </w:tc>
        <w:tc>
          <w:tcPr>
            <w:tcW w:w="800" w:type="dxa"/>
            <w:vMerge w:val="restart"/>
          </w:tcPr>
          <w:p w:rsidR="005D4F50" w:rsidRDefault="002420D6">
            <w:pPr>
              <w:keepNext/>
              <w:widowControl w:val="0"/>
              <w:spacing w:after="0" w:line="240" w:lineRule="auto"/>
              <w:jc w:val="center"/>
              <w:rPr>
                <w:b/>
              </w:rPr>
            </w:pPr>
            <w:r>
              <w:rPr>
                <w:b/>
              </w:rPr>
              <w:t>Total</w:t>
            </w:r>
          </w:p>
        </w:tc>
        <w:tc>
          <w:tcPr>
            <w:tcW w:w="5767" w:type="dxa"/>
            <w:gridSpan w:val="4"/>
          </w:tcPr>
          <w:p w:rsidR="005D4F50" w:rsidRDefault="002420D6">
            <w:pPr>
              <w:keepNext/>
              <w:widowControl w:val="0"/>
              <w:spacing w:after="0" w:line="240" w:lineRule="auto"/>
              <w:jc w:val="center"/>
              <w:rPr>
                <w:b/>
              </w:rPr>
            </w:pPr>
            <w:r>
              <w:rPr>
                <w:b/>
              </w:rPr>
              <w:t>Minority Property Enterprises</w:t>
            </w:r>
          </w:p>
        </w:tc>
        <w:tc>
          <w:tcPr>
            <w:tcW w:w="1437" w:type="dxa"/>
            <w:vMerge w:val="restart"/>
          </w:tcPr>
          <w:p w:rsidR="005D4F50" w:rsidRDefault="002420D6">
            <w:pPr>
              <w:keepNext/>
              <w:widowControl w:val="0"/>
              <w:spacing w:after="0" w:line="240" w:lineRule="auto"/>
              <w:jc w:val="center"/>
              <w:rPr>
                <w:b/>
              </w:rPr>
            </w:pPr>
            <w:r>
              <w:rPr>
                <w:b/>
              </w:rPr>
              <w:t>White Non-Hispanic</w:t>
            </w:r>
          </w:p>
        </w:tc>
      </w:tr>
      <w:tr w:rsidR="005D4F50">
        <w:trPr>
          <w:cantSplit/>
        </w:trPr>
        <w:tc>
          <w:tcPr>
            <w:tcW w:w="1572" w:type="dxa"/>
            <w:vMerge/>
          </w:tcPr>
          <w:p w:rsidR="005D4F50" w:rsidRDefault="005D4F50">
            <w:pPr>
              <w:keepNext/>
              <w:widowControl w:val="0"/>
              <w:spacing w:after="0" w:line="240" w:lineRule="auto"/>
              <w:jc w:val="center"/>
              <w:rPr>
                <w:b/>
              </w:rPr>
            </w:pPr>
          </w:p>
        </w:tc>
        <w:tc>
          <w:tcPr>
            <w:tcW w:w="800" w:type="dxa"/>
            <w:vMerge/>
          </w:tcPr>
          <w:p w:rsidR="005D4F50" w:rsidRDefault="005D4F50">
            <w:pPr>
              <w:keepNext/>
              <w:widowControl w:val="0"/>
              <w:spacing w:after="0" w:line="240" w:lineRule="auto"/>
              <w:jc w:val="center"/>
              <w:rPr>
                <w:b/>
              </w:rPr>
            </w:pPr>
          </w:p>
        </w:tc>
        <w:tc>
          <w:tcPr>
            <w:tcW w:w="1495" w:type="dxa"/>
          </w:tcPr>
          <w:p w:rsidR="005D4F50" w:rsidRDefault="002420D6">
            <w:pPr>
              <w:keepNext/>
              <w:widowControl w:val="0"/>
              <w:jc w:val="center"/>
              <w:rPr>
                <w:b/>
              </w:rPr>
            </w:pPr>
            <w:r>
              <w:rPr>
                <w:b/>
              </w:rPr>
              <w:t>Alaskan Native or American Indian</w:t>
            </w:r>
          </w:p>
        </w:tc>
        <w:tc>
          <w:tcPr>
            <w:tcW w:w="1399" w:type="dxa"/>
          </w:tcPr>
          <w:p w:rsidR="005D4F50" w:rsidRDefault="002420D6">
            <w:pPr>
              <w:keepNext/>
              <w:widowControl w:val="0"/>
              <w:ind w:right="-28"/>
              <w:jc w:val="center"/>
              <w:rPr>
                <w:b/>
              </w:rPr>
            </w:pPr>
            <w:r>
              <w:rPr>
                <w:b/>
              </w:rPr>
              <w:t>Asian or Pacific Islander</w:t>
            </w:r>
          </w:p>
        </w:tc>
        <w:tc>
          <w:tcPr>
            <w:tcW w:w="1437" w:type="dxa"/>
          </w:tcPr>
          <w:p w:rsidR="005D4F50" w:rsidRDefault="002420D6">
            <w:pPr>
              <w:keepNext/>
              <w:widowControl w:val="0"/>
              <w:jc w:val="center"/>
              <w:rPr>
                <w:b/>
              </w:rPr>
            </w:pPr>
            <w:r>
              <w:rPr>
                <w:b/>
              </w:rPr>
              <w:t>Black Non-Hispanic</w:t>
            </w:r>
          </w:p>
        </w:tc>
        <w:tc>
          <w:tcPr>
            <w:tcW w:w="1436" w:type="dxa"/>
          </w:tcPr>
          <w:p w:rsidR="005D4F50" w:rsidRDefault="002420D6">
            <w:pPr>
              <w:keepNext/>
              <w:widowControl w:val="0"/>
              <w:jc w:val="center"/>
              <w:rPr>
                <w:b/>
              </w:rPr>
            </w:pPr>
            <w:r>
              <w:rPr>
                <w:b/>
              </w:rPr>
              <w:t>Hispanic</w:t>
            </w:r>
          </w:p>
        </w:tc>
        <w:tc>
          <w:tcPr>
            <w:tcW w:w="1437" w:type="dxa"/>
            <w:vMerge/>
          </w:tcPr>
          <w:p w:rsidR="005D4F50" w:rsidRDefault="005D4F50">
            <w:pPr>
              <w:keepNext/>
              <w:widowControl w:val="0"/>
              <w:spacing w:after="0" w:line="240" w:lineRule="auto"/>
              <w:jc w:val="center"/>
              <w:rPr>
                <w:b/>
              </w:rPr>
            </w:pPr>
          </w:p>
        </w:tc>
      </w:tr>
      <w:tr w:rsidR="005D4F50">
        <w:trPr>
          <w:cantSplit/>
        </w:trPr>
        <w:tc>
          <w:tcPr>
            <w:tcW w:w="1575" w:type="dxa"/>
          </w:tcPr>
          <w:p w:rsidR="005D4F50" w:rsidRDefault="002420D6">
            <w:pPr>
              <w:spacing w:beforeAutospacing="1" w:afterAutospacing="1"/>
            </w:pPr>
            <w:r>
              <w:rPr>
                <w:color w:val="000000"/>
              </w:rPr>
              <w:t>Number</w:t>
            </w:r>
          </w:p>
        </w:tc>
        <w:tc>
          <w:tcPr>
            <w:tcW w:w="801" w:type="dxa"/>
            <w:vAlign w:val="bottom"/>
          </w:tcPr>
          <w:p w:rsidR="005D4F50" w:rsidRDefault="002420D6">
            <w:pPr>
              <w:spacing w:beforeAutospacing="1" w:afterAutospacing="1"/>
              <w:jc w:val="right"/>
            </w:pPr>
            <w:r>
              <w:rPr>
                <w:color w:val="000000"/>
              </w:rPr>
              <w:t>0</w:t>
            </w:r>
          </w:p>
        </w:tc>
        <w:tc>
          <w:tcPr>
            <w:tcW w:w="1497" w:type="dxa"/>
            <w:vAlign w:val="bottom"/>
          </w:tcPr>
          <w:p w:rsidR="005D4F50" w:rsidRDefault="002420D6">
            <w:pPr>
              <w:spacing w:beforeAutospacing="1" w:afterAutospacing="1"/>
              <w:jc w:val="right"/>
            </w:pPr>
            <w:r>
              <w:rPr>
                <w:color w:val="000000"/>
              </w:rPr>
              <w:t>0</w:t>
            </w:r>
          </w:p>
        </w:tc>
        <w:tc>
          <w:tcPr>
            <w:tcW w:w="1401" w:type="dxa"/>
            <w:vAlign w:val="bottom"/>
          </w:tcPr>
          <w:p w:rsidR="005D4F50" w:rsidRDefault="002420D6">
            <w:pPr>
              <w:spacing w:beforeAutospacing="1" w:afterAutospacing="1"/>
              <w:jc w:val="right"/>
            </w:pPr>
            <w:r>
              <w:rPr>
                <w:color w:val="000000"/>
              </w:rPr>
              <w:t>0</w:t>
            </w:r>
          </w:p>
        </w:tc>
        <w:tc>
          <w:tcPr>
            <w:tcW w:w="1439" w:type="dxa"/>
            <w:vAlign w:val="bottom"/>
          </w:tcPr>
          <w:p w:rsidR="005D4F50" w:rsidRDefault="002420D6">
            <w:pPr>
              <w:spacing w:beforeAutospacing="1" w:afterAutospacing="1"/>
              <w:jc w:val="right"/>
            </w:pPr>
            <w:r>
              <w:rPr>
                <w:color w:val="000000"/>
              </w:rPr>
              <w:t>0</w:t>
            </w:r>
          </w:p>
        </w:tc>
        <w:tc>
          <w:tcPr>
            <w:tcW w:w="1438" w:type="dxa"/>
            <w:vAlign w:val="bottom"/>
          </w:tcPr>
          <w:p w:rsidR="005D4F50" w:rsidRDefault="002420D6">
            <w:pPr>
              <w:spacing w:beforeAutospacing="1" w:afterAutospacing="1"/>
              <w:jc w:val="right"/>
            </w:pPr>
            <w:r>
              <w:rPr>
                <w:color w:val="000000"/>
              </w:rPr>
              <w:t>0</w:t>
            </w:r>
          </w:p>
        </w:tc>
        <w:tc>
          <w:tcPr>
            <w:tcW w:w="1439" w:type="dxa"/>
            <w:vAlign w:val="bottom"/>
          </w:tcPr>
          <w:p w:rsidR="005D4F50" w:rsidRDefault="002420D6">
            <w:pPr>
              <w:spacing w:beforeAutospacing="1" w:afterAutospacing="1"/>
              <w:jc w:val="right"/>
            </w:pPr>
            <w:r>
              <w:rPr>
                <w:color w:val="000000"/>
              </w:rPr>
              <w:t>0</w:t>
            </w:r>
          </w:p>
        </w:tc>
      </w:tr>
      <w:tr w:rsidR="005D4F50">
        <w:trPr>
          <w:cantSplit/>
        </w:trPr>
        <w:tc>
          <w:tcPr>
            <w:tcW w:w="1575" w:type="dxa"/>
          </w:tcPr>
          <w:p w:rsidR="005D4F50" w:rsidRDefault="002420D6">
            <w:pPr>
              <w:spacing w:beforeAutospacing="1" w:afterAutospacing="1"/>
            </w:pPr>
            <w:r>
              <w:rPr>
                <w:color w:val="000000"/>
              </w:rPr>
              <w:t>Cost</w:t>
            </w:r>
          </w:p>
        </w:tc>
        <w:tc>
          <w:tcPr>
            <w:tcW w:w="801" w:type="dxa"/>
            <w:vAlign w:val="bottom"/>
          </w:tcPr>
          <w:p w:rsidR="005D4F50" w:rsidRDefault="002420D6">
            <w:pPr>
              <w:spacing w:beforeAutospacing="1" w:afterAutospacing="1"/>
              <w:jc w:val="right"/>
            </w:pPr>
            <w:r>
              <w:rPr>
                <w:color w:val="000000"/>
              </w:rPr>
              <w:t>0</w:t>
            </w:r>
          </w:p>
        </w:tc>
        <w:tc>
          <w:tcPr>
            <w:tcW w:w="1497" w:type="dxa"/>
            <w:vAlign w:val="bottom"/>
          </w:tcPr>
          <w:p w:rsidR="005D4F50" w:rsidRDefault="002420D6">
            <w:pPr>
              <w:spacing w:beforeAutospacing="1" w:afterAutospacing="1"/>
              <w:jc w:val="right"/>
            </w:pPr>
            <w:r>
              <w:rPr>
                <w:color w:val="000000"/>
              </w:rPr>
              <w:t>0</w:t>
            </w:r>
          </w:p>
        </w:tc>
        <w:tc>
          <w:tcPr>
            <w:tcW w:w="1401" w:type="dxa"/>
            <w:vAlign w:val="bottom"/>
          </w:tcPr>
          <w:p w:rsidR="005D4F50" w:rsidRDefault="002420D6">
            <w:pPr>
              <w:spacing w:beforeAutospacing="1" w:afterAutospacing="1"/>
              <w:jc w:val="right"/>
            </w:pPr>
            <w:r>
              <w:rPr>
                <w:color w:val="000000"/>
              </w:rPr>
              <w:t>0</w:t>
            </w:r>
          </w:p>
        </w:tc>
        <w:tc>
          <w:tcPr>
            <w:tcW w:w="1439" w:type="dxa"/>
            <w:vAlign w:val="bottom"/>
          </w:tcPr>
          <w:p w:rsidR="005D4F50" w:rsidRDefault="002420D6">
            <w:pPr>
              <w:spacing w:beforeAutospacing="1" w:afterAutospacing="1"/>
              <w:jc w:val="right"/>
            </w:pPr>
            <w:r>
              <w:rPr>
                <w:color w:val="000000"/>
              </w:rPr>
              <w:t>0</w:t>
            </w:r>
          </w:p>
        </w:tc>
        <w:tc>
          <w:tcPr>
            <w:tcW w:w="1438" w:type="dxa"/>
            <w:vAlign w:val="bottom"/>
          </w:tcPr>
          <w:p w:rsidR="005D4F50" w:rsidRDefault="002420D6">
            <w:pPr>
              <w:spacing w:beforeAutospacing="1" w:afterAutospacing="1"/>
              <w:jc w:val="right"/>
            </w:pPr>
            <w:r>
              <w:rPr>
                <w:color w:val="000000"/>
              </w:rPr>
              <w:t>0</w:t>
            </w:r>
          </w:p>
        </w:tc>
        <w:tc>
          <w:tcPr>
            <w:tcW w:w="1439" w:type="dxa"/>
            <w:vAlign w:val="bottom"/>
          </w:tcPr>
          <w:p w:rsidR="005D4F50" w:rsidRDefault="002420D6">
            <w:pPr>
              <w:spacing w:beforeAutospacing="1" w:afterAutospacing="1"/>
              <w:jc w:val="right"/>
            </w:pPr>
            <w:r>
              <w:rPr>
                <w:color w:val="000000"/>
              </w:rPr>
              <w:t>0</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10</w:t>
      </w:r>
      <w:r>
        <w:rPr>
          <w:rFonts w:asciiTheme="minorHAnsi" w:hAnsiTheme="minorHAnsi"/>
        </w:rPr>
        <w:fldChar w:fldCharType="end"/>
      </w:r>
      <w:r>
        <w:rPr>
          <w:rFonts w:asciiTheme="minorHAnsi" w:hAnsiTheme="minorHAnsi"/>
        </w:rPr>
        <w:t xml:space="preserve"> – Relocation and Real Property Acquisition</w:t>
      </w:r>
    </w:p>
    <w:p w:rsidR="005D4F50" w:rsidRDefault="005D4F50">
      <w:pPr>
        <w:spacing w:after="0" w:line="240" w:lineRule="auto"/>
        <w:rPr>
          <w:b/>
        </w:rPr>
      </w:pPr>
    </w:p>
    <w:p w:rsidR="005D4F50" w:rsidRDefault="005D4F50">
      <w:pPr>
        <w:spacing w:after="0" w:line="240" w:lineRule="auto"/>
        <w:rPr>
          <w:b/>
        </w:rPr>
      </w:pPr>
    </w:p>
    <w:p w:rsidR="005D4F50" w:rsidRDefault="005D4F50">
      <w:pPr>
        <w:widowControl w:val="0"/>
        <w:spacing w:after="0" w:line="240" w:lineRule="auto"/>
        <w:rPr>
          <w:sz w:val="24"/>
          <w:szCs w:val="24"/>
        </w:rPr>
      </w:pPr>
    </w:p>
    <w:p w:rsidR="005D4F50" w:rsidRDefault="005D4F50">
      <w:pPr>
        <w:spacing w:after="0" w:line="240" w:lineRule="auto"/>
      </w:pPr>
      <w:bookmarkStart w:id="2" w:name="_Toc309810475"/>
    </w:p>
    <w:p w:rsidR="005D4F50" w:rsidRDefault="005D4F50">
      <w:pPr>
        <w:sectPr w:rsidR="005D4F50">
          <w:pgSz w:w="12240" w:h="15840" w:code="1"/>
          <w:pgMar w:top="1440" w:right="1440" w:bottom="1440" w:left="1440" w:header="720" w:footer="720" w:gutter="0"/>
          <w:cols w:space="720"/>
          <w:docGrid w:linePitch="360"/>
        </w:sectPr>
      </w:pPr>
    </w:p>
    <w:p w:rsidR="005D4F50" w:rsidRDefault="002420D6">
      <w:pPr>
        <w:pStyle w:val="Heading2"/>
        <w:rPr>
          <w:rFonts w:ascii="Calibri" w:hAnsi="Calibri"/>
          <w:i w:val="0"/>
        </w:rPr>
      </w:pPr>
      <w:r>
        <w:rPr>
          <w:rFonts w:ascii="Calibri" w:hAnsi="Calibri"/>
          <w:i w:val="0"/>
        </w:rPr>
        <w:lastRenderedPageBreak/>
        <w:t>CR-20 - Affordable Housing 91.520(b)</w:t>
      </w:r>
    </w:p>
    <w:p w:rsidR="005D4F50" w:rsidRDefault="002420D6">
      <w:pPr>
        <w:keepNext/>
        <w:widowControl w:val="0"/>
        <w:spacing w:after="0" w:line="240" w:lineRule="auto"/>
        <w:rPr>
          <w:b/>
          <w:sz w:val="24"/>
          <w:szCs w:val="24"/>
        </w:rPr>
      </w:pPr>
      <w:r>
        <w:rPr>
          <w:b/>
          <w:sz w:val="24"/>
          <w:szCs w:val="24"/>
        </w:rPr>
        <w:t>Evaluation of the jurisdiction's progress in providing affordable housing, including</w:t>
      </w:r>
      <w:r>
        <w:rPr>
          <w:b/>
          <w:sz w:val="24"/>
          <w:szCs w:val="24"/>
        </w:rPr>
        <w:t xml:space="preserve"> the number and types of families served, the number of extremely low-income, low-income, moderate-income, and middle-income persons served.</w:t>
      </w:r>
    </w:p>
    <w:p w:rsidR="005D4F50" w:rsidRDefault="005D4F50">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5D4F50">
        <w:trPr>
          <w:cantSplit/>
          <w:tblHeader/>
        </w:trPr>
        <w:tc>
          <w:tcPr>
            <w:tcW w:w="4293" w:type="dxa"/>
          </w:tcPr>
          <w:p w:rsidR="005D4F50" w:rsidRDefault="005D4F50">
            <w:pPr>
              <w:pStyle w:val="Caption"/>
              <w:keepNext/>
              <w:widowControl w:val="0"/>
              <w:jc w:val="center"/>
              <w:rPr>
                <w:rFonts w:ascii="Calibri" w:hAnsi="Calibri"/>
                <w:sz w:val="22"/>
                <w:szCs w:val="22"/>
              </w:rPr>
            </w:pPr>
          </w:p>
        </w:tc>
        <w:tc>
          <w:tcPr>
            <w:tcW w:w="2648" w:type="dxa"/>
          </w:tcPr>
          <w:p w:rsidR="005D4F50" w:rsidRDefault="002420D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5D4F50" w:rsidRDefault="002420D6">
            <w:pPr>
              <w:pStyle w:val="Caption"/>
              <w:keepNext/>
              <w:widowControl w:val="0"/>
              <w:jc w:val="center"/>
              <w:rPr>
                <w:rFonts w:ascii="Calibri" w:hAnsi="Calibri"/>
                <w:sz w:val="22"/>
                <w:szCs w:val="22"/>
              </w:rPr>
            </w:pPr>
            <w:r>
              <w:rPr>
                <w:rFonts w:ascii="Calibri" w:hAnsi="Calibri"/>
                <w:sz w:val="22"/>
                <w:szCs w:val="22"/>
              </w:rPr>
              <w:t>Actual</w:t>
            </w:r>
          </w:p>
        </w:tc>
      </w:tr>
      <w:tr w:rsidR="005D4F50">
        <w:trPr>
          <w:cantSplit/>
        </w:trPr>
        <w:tc>
          <w:tcPr>
            <w:tcW w:w="4293" w:type="dxa"/>
            <w:vAlign w:val="bottom"/>
          </w:tcPr>
          <w:p w:rsidR="005D4F50" w:rsidRDefault="002420D6">
            <w:pPr>
              <w:spacing w:beforeAutospacing="1" w:afterAutospacing="1"/>
            </w:pPr>
            <w:r>
              <w:rPr>
                <w:color w:val="000000"/>
              </w:rPr>
              <w:t>Number of Homeless households to be provided affordable housing units</w:t>
            </w:r>
          </w:p>
        </w:tc>
        <w:tc>
          <w:tcPr>
            <w:tcW w:w="2648" w:type="dxa"/>
            <w:vAlign w:val="bottom"/>
          </w:tcPr>
          <w:p w:rsidR="005D4F50" w:rsidRDefault="002420D6">
            <w:pPr>
              <w:spacing w:beforeAutospacing="1" w:afterAutospacing="1"/>
              <w:jc w:val="right"/>
            </w:pPr>
            <w:r>
              <w:rPr>
                <w:color w:val="000000"/>
              </w:rPr>
              <w:t>0</w:t>
            </w:r>
          </w:p>
        </w:tc>
        <w:tc>
          <w:tcPr>
            <w:tcW w:w="2649" w:type="dxa"/>
            <w:vAlign w:val="bottom"/>
          </w:tcPr>
          <w:p w:rsidR="005D4F50" w:rsidRDefault="002420D6">
            <w:pPr>
              <w:spacing w:beforeAutospacing="1" w:afterAutospacing="1"/>
              <w:jc w:val="right"/>
            </w:pPr>
            <w:r>
              <w:rPr>
                <w:color w:val="000000"/>
              </w:rPr>
              <w:t>0</w:t>
            </w:r>
          </w:p>
        </w:tc>
      </w:tr>
      <w:tr w:rsidR="005D4F50">
        <w:trPr>
          <w:cantSplit/>
        </w:trPr>
        <w:tc>
          <w:tcPr>
            <w:tcW w:w="4293" w:type="dxa"/>
            <w:vAlign w:val="bottom"/>
          </w:tcPr>
          <w:p w:rsidR="005D4F50" w:rsidRDefault="002420D6">
            <w:pPr>
              <w:spacing w:beforeAutospacing="1" w:afterAutospacing="1"/>
            </w:pPr>
            <w:r>
              <w:rPr>
                <w:color w:val="000000"/>
              </w:rPr>
              <w:t>Number of Non-Homeless households to be provided affordable housing units</w:t>
            </w:r>
          </w:p>
        </w:tc>
        <w:tc>
          <w:tcPr>
            <w:tcW w:w="2648" w:type="dxa"/>
            <w:vAlign w:val="bottom"/>
          </w:tcPr>
          <w:p w:rsidR="005D4F50" w:rsidRDefault="002420D6">
            <w:pPr>
              <w:spacing w:beforeAutospacing="1" w:afterAutospacing="1"/>
              <w:jc w:val="right"/>
            </w:pPr>
            <w:r>
              <w:rPr>
                <w:color w:val="000000"/>
              </w:rPr>
              <w:t>22</w:t>
            </w:r>
          </w:p>
        </w:tc>
        <w:tc>
          <w:tcPr>
            <w:tcW w:w="2649" w:type="dxa"/>
            <w:vAlign w:val="bottom"/>
          </w:tcPr>
          <w:p w:rsidR="005D4F50" w:rsidRDefault="002420D6">
            <w:pPr>
              <w:spacing w:beforeAutospacing="1" w:afterAutospacing="1"/>
              <w:jc w:val="right"/>
            </w:pPr>
            <w:r>
              <w:rPr>
                <w:color w:val="000000"/>
              </w:rPr>
              <w:t>28</w:t>
            </w:r>
          </w:p>
        </w:tc>
      </w:tr>
      <w:tr w:rsidR="005D4F50">
        <w:trPr>
          <w:cantSplit/>
        </w:trPr>
        <w:tc>
          <w:tcPr>
            <w:tcW w:w="4293" w:type="dxa"/>
            <w:vAlign w:val="bottom"/>
          </w:tcPr>
          <w:p w:rsidR="005D4F50" w:rsidRDefault="002420D6">
            <w:pPr>
              <w:spacing w:beforeAutospacing="1" w:afterAutospacing="1"/>
            </w:pPr>
            <w:r>
              <w:rPr>
                <w:color w:val="000000"/>
              </w:rPr>
              <w:t>Number of Special-Needs households to be provided affordable housing units</w:t>
            </w:r>
          </w:p>
        </w:tc>
        <w:tc>
          <w:tcPr>
            <w:tcW w:w="2648" w:type="dxa"/>
            <w:vAlign w:val="bottom"/>
          </w:tcPr>
          <w:p w:rsidR="005D4F50" w:rsidRDefault="002420D6">
            <w:pPr>
              <w:spacing w:beforeAutospacing="1" w:afterAutospacing="1"/>
              <w:jc w:val="right"/>
            </w:pPr>
            <w:r>
              <w:rPr>
                <w:color w:val="000000"/>
              </w:rPr>
              <w:t>0</w:t>
            </w:r>
          </w:p>
        </w:tc>
        <w:tc>
          <w:tcPr>
            <w:tcW w:w="2649" w:type="dxa"/>
            <w:vAlign w:val="bottom"/>
          </w:tcPr>
          <w:p w:rsidR="005D4F50" w:rsidRDefault="002420D6">
            <w:pPr>
              <w:spacing w:beforeAutospacing="1" w:afterAutospacing="1"/>
              <w:jc w:val="right"/>
            </w:pPr>
            <w:r>
              <w:rPr>
                <w:color w:val="000000"/>
              </w:rPr>
              <w:t>0</w:t>
            </w:r>
          </w:p>
        </w:tc>
      </w:tr>
      <w:tr w:rsidR="005D4F50">
        <w:trPr>
          <w:cantSplit/>
        </w:trPr>
        <w:tc>
          <w:tcPr>
            <w:tcW w:w="4293" w:type="dxa"/>
          </w:tcPr>
          <w:p w:rsidR="005D4F50" w:rsidRDefault="002420D6">
            <w:pPr>
              <w:spacing w:beforeAutospacing="1" w:afterAutospacing="1"/>
            </w:pPr>
            <w:r>
              <w:rPr>
                <w:b/>
                <w:color w:val="000000"/>
              </w:rPr>
              <w:t>Total</w:t>
            </w:r>
          </w:p>
        </w:tc>
        <w:tc>
          <w:tcPr>
            <w:tcW w:w="2648" w:type="dxa"/>
            <w:vAlign w:val="bottom"/>
          </w:tcPr>
          <w:p w:rsidR="005D4F50" w:rsidRDefault="002420D6">
            <w:pPr>
              <w:spacing w:beforeAutospacing="1" w:afterAutospacing="1"/>
              <w:jc w:val="right"/>
            </w:pPr>
            <w:r>
              <w:rPr>
                <w:b/>
                <w:color w:val="000000"/>
              </w:rPr>
              <w:t>22</w:t>
            </w:r>
          </w:p>
        </w:tc>
        <w:tc>
          <w:tcPr>
            <w:tcW w:w="2649" w:type="dxa"/>
            <w:vAlign w:val="bottom"/>
          </w:tcPr>
          <w:p w:rsidR="005D4F50" w:rsidRDefault="002420D6">
            <w:pPr>
              <w:spacing w:beforeAutospacing="1" w:afterAutospacing="1"/>
              <w:jc w:val="right"/>
            </w:pPr>
            <w:r>
              <w:rPr>
                <w:b/>
                <w:color w:val="000000"/>
              </w:rPr>
              <w:t>28</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11</w:t>
      </w:r>
      <w:r>
        <w:rPr>
          <w:rFonts w:asciiTheme="minorHAnsi" w:hAnsiTheme="minorHAnsi"/>
        </w:rPr>
        <w:fldChar w:fldCharType="end"/>
      </w:r>
      <w:r>
        <w:rPr>
          <w:rFonts w:asciiTheme="minorHAnsi" w:hAnsiTheme="minorHAnsi"/>
        </w:rPr>
        <w:t xml:space="preserve"> – Number of Households</w:t>
      </w:r>
    </w:p>
    <w:p w:rsidR="005D4F50" w:rsidRDefault="005D4F50"/>
    <w:p w:rsidR="005D4F50" w:rsidRDefault="005D4F50"/>
    <w:p w:rsidR="005D4F50" w:rsidRDefault="005D4F50">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5D4F50">
        <w:trPr>
          <w:cantSplit/>
          <w:tblHeader/>
        </w:trPr>
        <w:tc>
          <w:tcPr>
            <w:tcW w:w="4293" w:type="dxa"/>
          </w:tcPr>
          <w:p w:rsidR="005D4F50" w:rsidRDefault="005D4F50">
            <w:pPr>
              <w:pStyle w:val="Caption"/>
              <w:keepNext/>
              <w:widowControl w:val="0"/>
              <w:jc w:val="center"/>
              <w:rPr>
                <w:rFonts w:ascii="Calibri" w:hAnsi="Calibri"/>
                <w:sz w:val="22"/>
                <w:szCs w:val="22"/>
              </w:rPr>
            </w:pPr>
          </w:p>
        </w:tc>
        <w:tc>
          <w:tcPr>
            <w:tcW w:w="2648" w:type="dxa"/>
          </w:tcPr>
          <w:p w:rsidR="005D4F50" w:rsidRDefault="002420D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5D4F50" w:rsidRDefault="002420D6">
            <w:pPr>
              <w:pStyle w:val="Caption"/>
              <w:keepNext/>
              <w:widowControl w:val="0"/>
              <w:jc w:val="center"/>
              <w:rPr>
                <w:rFonts w:ascii="Calibri" w:hAnsi="Calibri"/>
                <w:sz w:val="22"/>
                <w:szCs w:val="22"/>
              </w:rPr>
            </w:pPr>
            <w:r>
              <w:rPr>
                <w:rFonts w:ascii="Calibri" w:hAnsi="Calibri"/>
                <w:sz w:val="22"/>
                <w:szCs w:val="22"/>
              </w:rPr>
              <w:t>Actual</w:t>
            </w:r>
          </w:p>
        </w:tc>
      </w:tr>
      <w:tr w:rsidR="005D4F50">
        <w:trPr>
          <w:cantSplit/>
        </w:trPr>
        <w:tc>
          <w:tcPr>
            <w:tcW w:w="4293" w:type="dxa"/>
            <w:vAlign w:val="bottom"/>
          </w:tcPr>
          <w:p w:rsidR="005D4F50" w:rsidRDefault="002420D6">
            <w:pPr>
              <w:spacing w:beforeAutospacing="1" w:afterAutospacing="1"/>
            </w:pPr>
            <w:r>
              <w:rPr>
                <w:color w:val="000000"/>
              </w:rPr>
              <w:t>Number of households supported through Rental Assistance</w:t>
            </w:r>
          </w:p>
        </w:tc>
        <w:tc>
          <w:tcPr>
            <w:tcW w:w="2648" w:type="dxa"/>
            <w:vAlign w:val="bottom"/>
          </w:tcPr>
          <w:p w:rsidR="005D4F50" w:rsidRDefault="002420D6">
            <w:pPr>
              <w:spacing w:beforeAutospacing="1" w:afterAutospacing="1"/>
              <w:jc w:val="right"/>
            </w:pPr>
            <w:r>
              <w:rPr>
                <w:color w:val="000000"/>
              </w:rPr>
              <w:t>0</w:t>
            </w:r>
          </w:p>
        </w:tc>
        <w:tc>
          <w:tcPr>
            <w:tcW w:w="2649" w:type="dxa"/>
            <w:vAlign w:val="bottom"/>
          </w:tcPr>
          <w:p w:rsidR="005D4F50" w:rsidRDefault="002420D6">
            <w:pPr>
              <w:spacing w:beforeAutospacing="1" w:afterAutospacing="1"/>
              <w:jc w:val="right"/>
            </w:pPr>
            <w:r>
              <w:rPr>
                <w:color w:val="000000"/>
              </w:rPr>
              <w:t>0</w:t>
            </w:r>
          </w:p>
        </w:tc>
      </w:tr>
      <w:tr w:rsidR="005D4F50">
        <w:trPr>
          <w:cantSplit/>
        </w:trPr>
        <w:tc>
          <w:tcPr>
            <w:tcW w:w="4293" w:type="dxa"/>
            <w:vAlign w:val="bottom"/>
          </w:tcPr>
          <w:p w:rsidR="005D4F50" w:rsidRDefault="002420D6">
            <w:pPr>
              <w:spacing w:beforeAutospacing="1" w:afterAutospacing="1"/>
            </w:pPr>
            <w:r>
              <w:rPr>
                <w:color w:val="000000"/>
              </w:rPr>
              <w:t>Number of households supported through The Production of New Units</w:t>
            </w:r>
          </w:p>
        </w:tc>
        <w:tc>
          <w:tcPr>
            <w:tcW w:w="2648" w:type="dxa"/>
            <w:vAlign w:val="bottom"/>
          </w:tcPr>
          <w:p w:rsidR="005D4F50" w:rsidRDefault="002420D6">
            <w:pPr>
              <w:spacing w:beforeAutospacing="1" w:afterAutospacing="1"/>
              <w:jc w:val="right"/>
            </w:pPr>
            <w:r>
              <w:rPr>
                <w:color w:val="000000"/>
              </w:rPr>
              <w:t>11</w:t>
            </w:r>
          </w:p>
        </w:tc>
        <w:tc>
          <w:tcPr>
            <w:tcW w:w="2649" w:type="dxa"/>
            <w:vAlign w:val="bottom"/>
          </w:tcPr>
          <w:p w:rsidR="005D4F50" w:rsidRDefault="002420D6">
            <w:pPr>
              <w:spacing w:beforeAutospacing="1" w:afterAutospacing="1"/>
              <w:jc w:val="right"/>
            </w:pPr>
            <w:r>
              <w:rPr>
                <w:color w:val="000000"/>
              </w:rPr>
              <w:t>26</w:t>
            </w:r>
          </w:p>
        </w:tc>
      </w:tr>
      <w:tr w:rsidR="005D4F50">
        <w:trPr>
          <w:cantSplit/>
        </w:trPr>
        <w:tc>
          <w:tcPr>
            <w:tcW w:w="4293" w:type="dxa"/>
            <w:vAlign w:val="bottom"/>
          </w:tcPr>
          <w:p w:rsidR="005D4F50" w:rsidRDefault="002420D6">
            <w:pPr>
              <w:spacing w:beforeAutospacing="1" w:afterAutospacing="1"/>
            </w:pPr>
            <w:r>
              <w:rPr>
                <w:color w:val="000000"/>
              </w:rPr>
              <w:t>Number of households supported through Rehab of Existing Units</w:t>
            </w:r>
          </w:p>
        </w:tc>
        <w:tc>
          <w:tcPr>
            <w:tcW w:w="2648" w:type="dxa"/>
            <w:vAlign w:val="bottom"/>
          </w:tcPr>
          <w:p w:rsidR="005D4F50" w:rsidRDefault="002420D6">
            <w:pPr>
              <w:spacing w:beforeAutospacing="1" w:afterAutospacing="1"/>
              <w:jc w:val="right"/>
            </w:pPr>
            <w:r>
              <w:rPr>
                <w:color w:val="000000"/>
              </w:rPr>
              <w:t>12</w:t>
            </w:r>
          </w:p>
        </w:tc>
        <w:tc>
          <w:tcPr>
            <w:tcW w:w="2649" w:type="dxa"/>
            <w:vAlign w:val="bottom"/>
          </w:tcPr>
          <w:p w:rsidR="005D4F50" w:rsidRDefault="002420D6">
            <w:pPr>
              <w:spacing w:beforeAutospacing="1" w:afterAutospacing="1"/>
              <w:jc w:val="right"/>
            </w:pPr>
            <w:r>
              <w:rPr>
                <w:color w:val="000000"/>
              </w:rPr>
              <w:t>2</w:t>
            </w:r>
          </w:p>
        </w:tc>
      </w:tr>
      <w:tr w:rsidR="005D4F50">
        <w:trPr>
          <w:cantSplit/>
        </w:trPr>
        <w:tc>
          <w:tcPr>
            <w:tcW w:w="4293" w:type="dxa"/>
            <w:vAlign w:val="bottom"/>
          </w:tcPr>
          <w:p w:rsidR="005D4F50" w:rsidRDefault="002420D6">
            <w:pPr>
              <w:spacing w:beforeAutospacing="1" w:afterAutospacing="1"/>
            </w:pPr>
            <w:r>
              <w:rPr>
                <w:color w:val="000000"/>
              </w:rPr>
              <w:t>Number of households supported through Acquisition of Existing Units</w:t>
            </w:r>
          </w:p>
        </w:tc>
        <w:tc>
          <w:tcPr>
            <w:tcW w:w="2648" w:type="dxa"/>
            <w:vAlign w:val="bottom"/>
          </w:tcPr>
          <w:p w:rsidR="005D4F50" w:rsidRDefault="002420D6">
            <w:pPr>
              <w:spacing w:beforeAutospacing="1" w:afterAutospacing="1"/>
              <w:jc w:val="right"/>
            </w:pPr>
            <w:r>
              <w:rPr>
                <w:color w:val="000000"/>
              </w:rPr>
              <w:t>0</w:t>
            </w:r>
          </w:p>
        </w:tc>
        <w:tc>
          <w:tcPr>
            <w:tcW w:w="2649" w:type="dxa"/>
            <w:vAlign w:val="bottom"/>
          </w:tcPr>
          <w:p w:rsidR="005D4F50" w:rsidRDefault="002420D6">
            <w:pPr>
              <w:spacing w:beforeAutospacing="1" w:afterAutospacing="1"/>
              <w:jc w:val="right"/>
            </w:pPr>
            <w:r>
              <w:rPr>
                <w:color w:val="000000"/>
              </w:rPr>
              <w:t>0</w:t>
            </w:r>
          </w:p>
        </w:tc>
      </w:tr>
      <w:tr w:rsidR="005D4F50">
        <w:trPr>
          <w:cantSplit/>
        </w:trPr>
        <w:tc>
          <w:tcPr>
            <w:tcW w:w="4293" w:type="dxa"/>
          </w:tcPr>
          <w:p w:rsidR="005D4F50" w:rsidRDefault="002420D6">
            <w:pPr>
              <w:spacing w:beforeAutospacing="1" w:afterAutospacing="1"/>
            </w:pPr>
            <w:r>
              <w:rPr>
                <w:b/>
                <w:color w:val="000000"/>
              </w:rPr>
              <w:t>Total</w:t>
            </w:r>
          </w:p>
        </w:tc>
        <w:tc>
          <w:tcPr>
            <w:tcW w:w="2648" w:type="dxa"/>
            <w:vAlign w:val="bottom"/>
          </w:tcPr>
          <w:p w:rsidR="005D4F50" w:rsidRDefault="002420D6">
            <w:pPr>
              <w:spacing w:beforeAutospacing="1" w:afterAutospacing="1"/>
              <w:jc w:val="right"/>
            </w:pPr>
            <w:r>
              <w:rPr>
                <w:b/>
                <w:color w:val="000000"/>
              </w:rPr>
              <w:t>23</w:t>
            </w:r>
          </w:p>
        </w:tc>
        <w:tc>
          <w:tcPr>
            <w:tcW w:w="2649" w:type="dxa"/>
            <w:vAlign w:val="bottom"/>
          </w:tcPr>
          <w:p w:rsidR="005D4F50" w:rsidRDefault="002420D6">
            <w:pPr>
              <w:spacing w:beforeAutospacing="1" w:afterAutospacing="1"/>
              <w:jc w:val="right"/>
            </w:pPr>
            <w:r>
              <w:rPr>
                <w:b/>
                <w:color w:val="000000"/>
              </w:rPr>
              <w:t>28</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12</w:t>
      </w:r>
      <w:r>
        <w:rPr>
          <w:rFonts w:asciiTheme="minorHAnsi" w:hAnsiTheme="minorHAnsi"/>
        </w:rPr>
        <w:fldChar w:fldCharType="end"/>
      </w:r>
      <w:r>
        <w:rPr>
          <w:rFonts w:asciiTheme="minorHAnsi" w:hAnsiTheme="minorHAnsi"/>
        </w:rPr>
        <w:t xml:space="preserve"> – Number of Households Supported</w:t>
      </w:r>
    </w:p>
    <w:p w:rsidR="005D4F50" w:rsidRDefault="005D4F50">
      <w:pPr>
        <w:rPr>
          <w:rFonts w:cs="Arial"/>
        </w:rPr>
      </w:pPr>
    </w:p>
    <w:p w:rsidR="005D4F50" w:rsidRDefault="005D4F50">
      <w:pPr>
        <w:rPr>
          <w:rFonts w:cs="Arial"/>
        </w:rPr>
      </w:pPr>
    </w:p>
    <w:p w:rsidR="005D4F50" w:rsidRDefault="002420D6">
      <w:pPr>
        <w:widowControl w:val="0"/>
        <w:spacing w:line="204" w:lineRule="auto"/>
        <w:rPr>
          <w:b/>
          <w:sz w:val="24"/>
          <w:szCs w:val="24"/>
        </w:rPr>
      </w:pPr>
      <w:r>
        <w:rPr>
          <w:b/>
          <w:sz w:val="24"/>
          <w:szCs w:val="24"/>
        </w:rPr>
        <w:t>Discuss the difference between goals and outcomes and problems encountered in meeting these goals.</w:t>
      </w:r>
    </w:p>
    <w:p w:rsidR="005D4F50" w:rsidRDefault="002420D6">
      <w:pPr>
        <w:spacing w:beforeAutospacing="1" w:afterAutospacing="1"/>
        <w:rPr>
          <w:rFonts w:cs="Arial"/>
        </w:rPr>
      </w:pPr>
      <w:r>
        <w:rPr>
          <w:rFonts w:cs="Arial"/>
        </w:rPr>
        <w:t xml:space="preserve">The skyrocketing price of homes, high interest rates, as well as homes selling for well above asking price has made it difficult for first-time homebuyers to be able to purchase a house using our down-payment assistance program even with the change to the </w:t>
      </w:r>
      <w:r>
        <w:rPr>
          <w:rFonts w:cs="Arial"/>
        </w:rPr>
        <w:t>amount of funds the program can offer. We were however able to provide downpayment assistance to 4 First Time Homebuyers who purchased newly constructed units that were constructed by a non-profit developer. Most of our rehab is tied to our Lead grant from</w:t>
      </w:r>
      <w:r>
        <w:rPr>
          <w:rFonts w:cs="Arial"/>
        </w:rPr>
        <w:t xml:space="preserve"> the Office of Healthy Homes &amp; Lead Hazard Control. Staff has found getting the appropriate </w:t>
      </w:r>
      <w:r>
        <w:rPr>
          <w:rFonts w:cs="Arial"/>
        </w:rPr>
        <w:lastRenderedPageBreak/>
        <w:t>documentation needed for income certification of both owners and tenants challenging. This delays the approval process which in turn delays production of units. The</w:t>
      </w:r>
      <w:r>
        <w:rPr>
          <w:rFonts w:cs="Arial"/>
        </w:rPr>
        <w:t>re were 2 vacant staff positions in the Housing Division in the Department. During the Program Year, we had 2 rental housing development projects that were completed and rented up.</w:t>
      </w:r>
    </w:p>
    <w:p w:rsidR="005D4F50" w:rsidRDefault="002420D6">
      <w:pPr>
        <w:widowControl w:val="0"/>
        <w:spacing w:line="204" w:lineRule="auto"/>
        <w:rPr>
          <w:b/>
          <w:sz w:val="24"/>
          <w:szCs w:val="24"/>
        </w:rPr>
      </w:pPr>
      <w:r>
        <w:rPr>
          <w:b/>
          <w:sz w:val="24"/>
          <w:szCs w:val="24"/>
        </w:rPr>
        <w:t>Discuss how these outcomes will impact future annual action plans.</w:t>
      </w:r>
    </w:p>
    <w:p w:rsidR="005D4F50" w:rsidRDefault="002420D6">
      <w:pPr>
        <w:spacing w:beforeAutospacing="1" w:afterAutospacing="1"/>
        <w:rPr>
          <w:rFonts w:cs="Arial"/>
        </w:rPr>
      </w:pPr>
      <w:r>
        <w:rPr>
          <w:rFonts w:cs="Arial"/>
        </w:rPr>
        <w:t>There sh</w:t>
      </w:r>
      <w:r>
        <w:rPr>
          <w:rFonts w:cs="Arial"/>
        </w:rPr>
        <w:t>ould not be any impact on future Action plans. </w:t>
      </w:r>
    </w:p>
    <w:p w:rsidR="005D4F50" w:rsidRDefault="002420D6">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rsidR="005D4F50" w:rsidRDefault="005D4F50">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5D4F50">
        <w:trPr>
          <w:cantSplit/>
        </w:trPr>
        <w:tc>
          <w:tcPr>
            <w:tcW w:w="4081" w:type="dxa"/>
          </w:tcPr>
          <w:p w:rsidR="005D4F50" w:rsidRDefault="002420D6">
            <w:pPr>
              <w:keepNext/>
              <w:widowControl w:val="0"/>
              <w:spacing w:after="0" w:line="240" w:lineRule="auto"/>
              <w:jc w:val="center"/>
              <w:rPr>
                <w:b/>
              </w:rPr>
            </w:pPr>
            <w:r>
              <w:rPr>
                <w:b/>
              </w:rPr>
              <w:t>Number  of Households Served</w:t>
            </w:r>
          </w:p>
        </w:tc>
        <w:tc>
          <w:tcPr>
            <w:tcW w:w="1859" w:type="dxa"/>
          </w:tcPr>
          <w:p w:rsidR="005D4F50" w:rsidRDefault="002420D6">
            <w:pPr>
              <w:keepNext/>
              <w:widowControl w:val="0"/>
              <w:spacing w:after="0" w:line="240" w:lineRule="auto"/>
              <w:jc w:val="center"/>
              <w:rPr>
                <w:b/>
              </w:rPr>
            </w:pPr>
            <w:r>
              <w:rPr>
                <w:b/>
              </w:rPr>
              <w:t>CDBG Actual</w:t>
            </w:r>
          </w:p>
        </w:tc>
        <w:tc>
          <w:tcPr>
            <w:tcW w:w="1915" w:type="dxa"/>
            <w:gridSpan w:val="2"/>
          </w:tcPr>
          <w:p w:rsidR="005D4F50" w:rsidRDefault="002420D6">
            <w:pPr>
              <w:keepNext/>
              <w:widowControl w:val="0"/>
              <w:spacing w:after="0" w:line="240" w:lineRule="auto"/>
              <w:jc w:val="center"/>
              <w:rPr>
                <w:b/>
              </w:rPr>
            </w:pPr>
            <w:r>
              <w:rPr>
                <w:b/>
              </w:rPr>
              <w:t>HOME Actual</w:t>
            </w:r>
          </w:p>
        </w:tc>
      </w:tr>
      <w:tr w:rsidR="005D4F50">
        <w:trPr>
          <w:gridAfter w:val="1"/>
          <w:wAfter w:w="25" w:type="dxa"/>
          <w:cantSplit/>
        </w:trPr>
        <w:tc>
          <w:tcPr>
            <w:tcW w:w="4081" w:type="dxa"/>
            <w:vAlign w:val="bottom"/>
          </w:tcPr>
          <w:p w:rsidR="005D4F50" w:rsidRDefault="002420D6">
            <w:pPr>
              <w:spacing w:beforeAutospacing="1" w:afterAutospacing="1"/>
            </w:pPr>
            <w:r>
              <w:rPr>
                <w:color w:val="000000"/>
              </w:rPr>
              <w:t>Extremely Low-income</w:t>
            </w:r>
          </w:p>
        </w:tc>
        <w:tc>
          <w:tcPr>
            <w:tcW w:w="1859" w:type="dxa"/>
            <w:vAlign w:val="bottom"/>
          </w:tcPr>
          <w:p w:rsidR="005D4F50" w:rsidRDefault="002420D6">
            <w:pPr>
              <w:spacing w:beforeAutospacing="1" w:afterAutospacing="1"/>
              <w:jc w:val="right"/>
            </w:pPr>
            <w:r>
              <w:rPr>
                <w:color w:val="000000"/>
              </w:rPr>
              <w:t>60</w:t>
            </w:r>
          </w:p>
        </w:tc>
        <w:tc>
          <w:tcPr>
            <w:tcW w:w="1890" w:type="dxa"/>
            <w:vAlign w:val="bottom"/>
          </w:tcPr>
          <w:p w:rsidR="005D4F50" w:rsidRDefault="002420D6">
            <w:pPr>
              <w:spacing w:beforeAutospacing="1" w:afterAutospacing="1"/>
              <w:jc w:val="right"/>
            </w:pPr>
            <w:r>
              <w:rPr>
                <w:color w:val="000000"/>
              </w:rPr>
              <w:t>15</w:t>
            </w:r>
          </w:p>
        </w:tc>
      </w:tr>
      <w:tr w:rsidR="005D4F50">
        <w:trPr>
          <w:gridAfter w:val="1"/>
          <w:wAfter w:w="25" w:type="dxa"/>
          <w:cantSplit/>
        </w:trPr>
        <w:tc>
          <w:tcPr>
            <w:tcW w:w="4081" w:type="dxa"/>
            <w:vAlign w:val="bottom"/>
          </w:tcPr>
          <w:p w:rsidR="005D4F50" w:rsidRDefault="002420D6">
            <w:pPr>
              <w:spacing w:beforeAutospacing="1" w:afterAutospacing="1"/>
            </w:pPr>
            <w:r>
              <w:rPr>
                <w:color w:val="000000"/>
              </w:rPr>
              <w:t>Low-income</w:t>
            </w:r>
          </w:p>
        </w:tc>
        <w:tc>
          <w:tcPr>
            <w:tcW w:w="1859" w:type="dxa"/>
            <w:vAlign w:val="bottom"/>
          </w:tcPr>
          <w:p w:rsidR="005D4F50" w:rsidRDefault="002420D6">
            <w:pPr>
              <w:spacing w:beforeAutospacing="1" w:afterAutospacing="1"/>
              <w:jc w:val="right"/>
            </w:pPr>
            <w:r>
              <w:rPr>
                <w:color w:val="000000"/>
              </w:rPr>
              <w:t>24</w:t>
            </w:r>
          </w:p>
        </w:tc>
        <w:tc>
          <w:tcPr>
            <w:tcW w:w="1890" w:type="dxa"/>
            <w:vAlign w:val="bottom"/>
          </w:tcPr>
          <w:p w:rsidR="005D4F50" w:rsidRDefault="002420D6">
            <w:pPr>
              <w:spacing w:beforeAutospacing="1" w:afterAutospacing="1"/>
              <w:jc w:val="right"/>
            </w:pPr>
            <w:r>
              <w:rPr>
                <w:color w:val="000000"/>
              </w:rPr>
              <w:t>1</w:t>
            </w:r>
          </w:p>
        </w:tc>
      </w:tr>
      <w:tr w:rsidR="005D4F50">
        <w:trPr>
          <w:gridAfter w:val="1"/>
          <w:wAfter w:w="25" w:type="dxa"/>
          <w:cantSplit/>
        </w:trPr>
        <w:tc>
          <w:tcPr>
            <w:tcW w:w="4081" w:type="dxa"/>
            <w:vAlign w:val="bottom"/>
          </w:tcPr>
          <w:p w:rsidR="005D4F50" w:rsidRDefault="002420D6">
            <w:pPr>
              <w:spacing w:beforeAutospacing="1" w:afterAutospacing="1"/>
            </w:pPr>
            <w:r>
              <w:rPr>
                <w:color w:val="000000"/>
              </w:rPr>
              <w:t>Moderate-income</w:t>
            </w:r>
          </w:p>
        </w:tc>
        <w:tc>
          <w:tcPr>
            <w:tcW w:w="1859" w:type="dxa"/>
            <w:vAlign w:val="bottom"/>
          </w:tcPr>
          <w:p w:rsidR="005D4F50" w:rsidRDefault="002420D6">
            <w:pPr>
              <w:spacing w:beforeAutospacing="1" w:afterAutospacing="1"/>
              <w:jc w:val="right"/>
            </w:pPr>
            <w:r>
              <w:rPr>
                <w:color w:val="000000"/>
              </w:rPr>
              <w:t>4</w:t>
            </w:r>
          </w:p>
        </w:tc>
        <w:tc>
          <w:tcPr>
            <w:tcW w:w="1890" w:type="dxa"/>
            <w:vAlign w:val="bottom"/>
          </w:tcPr>
          <w:p w:rsidR="005D4F50" w:rsidRDefault="002420D6">
            <w:pPr>
              <w:spacing w:beforeAutospacing="1" w:afterAutospacing="1"/>
              <w:jc w:val="right"/>
            </w:pPr>
            <w:r>
              <w:rPr>
                <w:color w:val="000000"/>
              </w:rPr>
              <w:t>10</w:t>
            </w:r>
          </w:p>
        </w:tc>
      </w:tr>
      <w:tr w:rsidR="005D4F50">
        <w:trPr>
          <w:gridAfter w:val="1"/>
          <w:wAfter w:w="25" w:type="dxa"/>
          <w:cantSplit/>
        </w:trPr>
        <w:tc>
          <w:tcPr>
            <w:tcW w:w="4081" w:type="dxa"/>
            <w:vAlign w:val="bottom"/>
          </w:tcPr>
          <w:p w:rsidR="005D4F50" w:rsidRDefault="002420D6">
            <w:pPr>
              <w:spacing w:beforeAutospacing="1" w:afterAutospacing="1"/>
            </w:pPr>
            <w:r>
              <w:rPr>
                <w:b/>
                <w:color w:val="000000"/>
              </w:rPr>
              <w:t>Total</w:t>
            </w:r>
          </w:p>
        </w:tc>
        <w:tc>
          <w:tcPr>
            <w:tcW w:w="1859" w:type="dxa"/>
            <w:vAlign w:val="bottom"/>
          </w:tcPr>
          <w:p w:rsidR="005D4F50" w:rsidRDefault="002420D6">
            <w:pPr>
              <w:spacing w:beforeAutospacing="1" w:afterAutospacing="1"/>
              <w:jc w:val="right"/>
            </w:pPr>
            <w:r>
              <w:rPr>
                <w:b/>
                <w:color w:val="000000"/>
              </w:rPr>
              <w:t>88</w:t>
            </w:r>
          </w:p>
        </w:tc>
        <w:tc>
          <w:tcPr>
            <w:tcW w:w="1890" w:type="dxa"/>
            <w:vAlign w:val="bottom"/>
          </w:tcPr>
          <w:p w:rsidR="005D4F50" w:rsidRDefault="002420D6">
            <w:pPr>
              <w:spacing w:beforeAutospacing="1" w:afterAutospacing="1"/>
              <w:jc w:val="right"/>
            </w:pPr>
            <w:r>
              <w:rPr>
                <w:b/>
                <w:color w:val="000000"/>
              </w:rPr>
              <w:t>26</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13</w:t>
      </w:r>
      <w:r>
        <w:rPr>
          <w:rFonts w:asciiTheme="minorHAnsi" w:hAnsiTheme="minorHAnsi"/>
        </w:rPr>
        <w:fldChar w:fldCharType="end"/>
      </w:r>
      <w:r>
        <w:rPr>
          <w:rFonts w:asciiTheme="minorHAnsi" w:hAnsiTheme="minorHAnsi"/>
        </w:rPr>
        <w:t xml:space="preserve"> – Number of Households Served</w:t>
      </w:r>
    </w:p>
    <w:p w:rsidR="005D4F50" w:rsidRDefault="005D4F50">
      <w:pPr>
        <w:widowControl w:val="0"/>
        <w:spacing w:line="204" w:lineRule="auto"/>
        <w:rPr>
          <w:b/>
          <w:sz w:val="24"/>
          <w:szCs w:val="24"/>
        </w:rPr>
      </w:pPr>
    </w:p>
    <w:p w:rsidR="005D4F50" w:rsidRDefault="005D4F50">
      <w:pPr>
        <w:widowControl w:val="0"/>
        <w:spacing w:line="204" w:lineRule="auto"/>
        <w:rPr>
          <w:b/>
          <w:sz w:val="24"/>
          <w:szCs w:val="24"/>
        </w:rPr>
      </w:pPr>
    </w:p>
    <w:p w:rsidR="005D4F50" w:rsidRDefault="002420D6">
      <w:pPr>
        <w:widowControl w:val="0"/>
        <w:spacing w:line="204" w:lineRule="auto"/>
        <w:rPr>
          <w:b/>
          <w:sz w:val="24"/>
          <w:szCs w:val="24"/>
        </w:rPr>
      </w:pPr>
      <w:r>
        <w:rPr>
          <w:b/>
          <w:sz w:val="24"/>
          <w:szCs w:val="24"/>
        </w:rPr>
        <w:t>Narrative Information</w:t>
      </w:r>
    </w:p>
    <w:p w:rsidR="005D4F50" w:rsidRDefault="005D4F50">
      <w:pPr>
        <w:rPr>
          <w:rFonts w:cs="Arial"/>
        </w:rPr>
      </w:pPr>
    </w:p>
    <w:p w:rsidR="005D4F50" w:rsidRDefault="005D4F50">
      <w:pPr>
        <w:rPr>
          <w:rFonts w:cs="Arial"/>
        </w:rPr>
      </w:pPr>
    </w:p>
    <w:p w:rsidR="005D4F50" w:rsidRDefault="005D4F50">
      <w:pPr>
        <w:pStyle w:val="Heading2"/>
        <w:pageBreakBefore/>
        <w:rPr>
          <w:rFonts w:ascii="Calibri" w:hAnsi="Calibri"/>
          <w:i w:val="0"/>
        </w:rPr>
        <w:sectPr w:rsidR="005D4F50">
          <w:pgSz w:w="12240" w:h="15840" w:code="1"/>
          <w:pgMar w:top="1440" w:right="1440" w:bottom="1440" w:left="1440" w:header="720" w:footer="720" w:gutter="0"/>
          <w:cols w:space="720"/>
          <w:docGrid w:linePitch="360"/>
        </w:sectPr>
      </w:pPr>
    </w:p>
    <w:bookmarkEnd w:id="2"/>
    <w:p w:rsidR="005D4F50" w:rsidRDefault="002420D6">
      <w:pPr>
        <w:pStyle w:val="Heading2"/>
        <w:pageBreakBefore/>
        <w:widowControl w:val="0"/>
        <w:rPr>
          <w:rFonts w:ascii="Calibri" w:hAnsi="Calibri"/>
          <w:i w:val="0"/>
        </w:rPr>
      </w:pPr>
      <w:r>
        <w:rPr>
          <w:rFonts w:ascii="Calibri" w:hAnsi="Calibri"/>
          <w:i w:val="0"/>
        </w:rPr>
        <w:lastRenderedPageBreak/>
        <w:t xml:space="preserve">CR-25 - Homeless and </w:t>
      </w:r>
      <w:r>
        <w:rPr>
          <w:rFonts w:ascii="Calibri" w:hAnsi="Calibri"/>
          <w:i w:val="0"/>
        </w:rPr>
        <w:t>Other Special Needs 91.220(d, e); 91.320(d, e); 91.520(c)</w:t>
      </w:r>
    </w:p>
    <w:p w:rsidR="005D4F50" w:rsidRDefault="002420D6">
      <w:pPr>
        <w:keepNext/>
        <w:widowControl w:val="0"/>
        <w:rPr>
          <w:b/>
          <w:sz w:val="24"/>
          <w:szCs w:val="24"/>
        </w:rPr>
      </w:pPr>
      <w:r>
        <w:rPr>
          <w:b/>
          <w:sz w:val="24"/>
          <w:szCs w:val="24"/>
        </w:rPr>
        <w:t>Evaluate the jurisdiction’s progress in meeting its specific objectives for reducing and ending homelessness through:</w:t>
      </w:r>
    </w:p>
    <w:p w:rsidR="005D4F50" w:rsidRDefault="002420D6">
      <w:pPr>
        <w:widowControl w:val="0"/>
        <w:rPr>
          <w:b/>
          <w:sz w:val="24"/>
          <w:szCs w:val="24"/>
        </w:rPr>
      </w:pPr>
      <w:r>
        <w:rPr>
          <w:b/>
          <w:sz w:val="24"/>
          <w:szCs w:val="24"/>
        </w:rPr>
        <w:t xml:space="preserve">Reaching out to homeless persons (especially unsheltered persons) and assessing </w:t>
      </w:r>
      <w:r>
        <w:rPr>
          <w:b/>
          <w:sz w:val="24"/>
          <w:szCs w:val="24"/>
        </w:rPr>
        <w:t>their individual needs</w:t>
      </w:r>
    </w:p>
    <w:p w:rsidR="005D4F50" w:rsidRDefault="002420D6">
      <w:pPr>
        <w:widowControl w:val="0"/>
        <w:spacing w:beforeAutospacing="1" w:afterAutospacing="1"/>
        <w:rPr>
          <w:rFonts w:cs="Arial"/>
        </w:rPr>
      </w:pPr>
      <w:r>
        <w:rPr>
          <w:rFonts w:cs="Arial"/>
        </w:rPr>
        <w:t>The City of Lawrence is committed to increasing long-term housing stability and economic self-sufficiency of homeless and at-risk individuals and families. The City will utilize HOME and HOME-ARP funds to produce additional affordabl</w:t>
      </w:r>
      <w:r>
        <w:rPr>
          <w:rFonts w:cs="Arial"/>
        </w:rPr>
        <w:t>e rental units and have dedicated CDBG funds to support self-sufficiency and economic development.</w:t>
      </w:r>
      <w:r>
        <w:rPr>
          <w:rFonts w:cs="Arial"/>
        </w:rPr>
        <w:br/>
        <w:t xml:space="preserve">  The Continuum of Care (CoC) uses a Coordinated Entry system and outreach teams to address the needs of homeless persons, with a special emphasis on unshelt</w:t>
      </w:r>
      <w:r>
        <w:rPr>
          <w:rFonts w:cs="Arial"/>
        </w:rPr>
        <w:t xml:space="preserve">ered persons. Outreach teams respond to any report of an unsheltered family with children and locate an immediate placement in alternative housing settings. </w:t>
      </w:r>
    </w:p>
    <w:p w:rsidR="005D4F50" w:rsidRDefault="002420D6">
      <w:pPr>
        <w:widowControl w:val="0"/>
        <w:spacing w:beforeAutospacing="1" w:afterAutospacing="1"/>
        <w:rPr>
          <w:rFonts w:cs="Arial"/>
        </w:rPr>
      </w:pPr>
      <w:r>
        <w:rPr>
          <w:rFonts w:cs="Arial"/>
        </w:rPr>
        <w:t>In 2016, the City ordinance the Homelessness Initiatives Coordinator’s position, and hired a new s</w:t>
      </w:r>
      <w:r>
        <w:rPr>
          <w:rFonts w:cs="Arial"/>
        </w:rPr>
        <w:t>taff person who sits within the Community Development Department. This position has been instrumental in providing and sharing resources with area providers through the Lawrence Mayor’s Health Task Force, a health disparities coalition that’s now officiall</w:t>
      </w:r>
      <w:r>
        <w:rPr>
          <w:rFonts w:cs="Arial"/>
        </w:rPr>
        <w:t>y under the umbrella of OPD, as well as through participation at local, regional, and statewide meetings. </w:t>
      </w:r>
      <w:r>
        <w:rPr>
          <w:rFonts w:cs="Arial"/>
        </w:rPr>
        <w:br/>
        <w:t>The Homelessness Initiatives Coordinator also works in close collaboration with the Lawrence Police Department, the Department of Public Works, and t</w:t>
      </w:r>
      <w:r>
        <w:rPr>
          <w:rFonts w:cs="Arial"/>
        </w:rPr>
        <w:t>he Housing Department to respond to homeless encampments complaints by residents and local businesses, using this opportunity to learn more about homeless trends and offer services in an attempt to house unsheltered individuals. The Homelessness Initiative</w:t>
      </w:r>
      <w:r>
        <w:rPr>
          <w:rFonts w:cs="Arial"/>
        </w:rPr>
        <w:t>s Coordinator resigned mid-way through the year and the job remained vacant for the remainder of the program year.</w:t>
      </w:r>
    </w:p>
    <w:p w:rsidR="005D4F50" w:rsidRDefault="002420D6">
      <w:pPr>
        <w:widowControl w:val="0"/>
        <w:rPr>
          <w:b/>
          <w:sz w:val="24"/>
          <w:szCs w:val="24"/>
        </w:rPr>
      </w:pPr>
      <w:r>
        <w:rPr>
          <w:b/>
          <w:sz w:val="24"/>
          <w:szCs w:val="24"/>
        </w:rPr>
        <w:t>Addressing the emergency shelter and transitional housing needs of homeless persons</w:t>
      </w:r>
    </w:p>
    <w:p w:rsidR="005D4F50" w:rsidRDefault="002420D6">
      <w:pPr>
        <w:widowControl w:val="0"/>
        <w:spacing w:beforeAutospacing="1" w:afterAutospacing="1"/>
        <w:rPr>
          <w:rFonts w:cs="Arial"/>
        </w:rPr>
      </w:pPr>
      <w:r>
        <w:rPr>
          <w:rFonts w:cs="Arial"/>
        </w:rPr>
        <w:t>The City is providing CDBG funds to Emmaus as part of the</w:t>
      </w:r>
      <w:r>
        <w:rPr>
          <w:rFonts w:cs="Arial"/>
        </w:rPr>
        <w:t>ir match for the Fresh Start project funded through the Continuum of Care Grant program. Fresh Start is a permanent supportive housing leasing program targeting 14 chronically homeless individuals with 4 slots set aside for veterans.</w:t>
      </w:r>
      <w:r>
        <w:rPr>
          <w:rFonts w:cs="Arial"/>
        </w:rPr>
        <w:br/>
        <w:t>Lastly, the City has e</w:t>
      </w:r>
      <w:r>
        <w:rPr>
          <w:rFonts w:cs="Arial"/>
        </w:rPr>
        <w:t xml:space="preserve">xpanded and strengthened partnerships with the Executive Office of Housing and Livable Communities (EOHLC) in Boston which has led to increased collaboration and service coordination, capacity-building opportunities for area service providers, and support </w:t>
      </w:r>
      <w:r>
        <w:rPr>
          <w:rFonts w:cs="Arial"/>
        </w:rPr>
        <w:t xml:space="preserve">for expanded services to better address youth homelessness (ages 18—24). Referrals are made to local emergency shelters or to Greater Lawrence Community Action Council who has funds to place clients into temporary hotel stays. The City also places clients </w:t>
      </w:r>
      <w:r>
        <w:rPr>
          <w:rFonts w:cs="Arial"/>
        </w:rPr>
        <w:t>in hotels as funds are appropriated.</w:t>
      </w:r>
    </w:p>
    <w:p w:rsidR="005D4F50" w:rsidRDefault="002420D6">
      <w:pPr>
        <w:widowControl w:val="0"/>
        <w:rPr>
          <w:b/>
          <w:sz w:val="24"/>
          <w:szCs w:val="24"/>
        </w:rPr>
      </w:pPr>
      <w:r>
        <w:rPr>
          <w:b/>
          <w:sz w:val="24"/>
          <w:szCs w:val="24"/>
        </w:rPr>
        <w:t xml:space="preserve">Helping low-income individuals and families avoid becoming homeless, especially extremely </w:t>
      </w:r>
      <w:r>
        <w:rPr>
          <w:b/>
          <w:sz w:val="24"/>
          <w:szCs w:val="24"/>
        </w:rPr>
        <w:lastRenderedPageBreak/>
        <w:t>low-income individuals and families and those who are:  likely to become homeless after being discharged from publicly funded ins</w:t>
      </w:r>
      <w:r>
        <w:rPr>
          <w:b/>
          <w:sz w:val="24"/>
          <w:szCs w:val="24"/>
        </w:rPr>
        <w:t>titutions and systems of care (such as health care facilities, mental health facilities, foster care and other youth facilities, and corrections programs and institutions);  and,  receiving assistance from public or private agencies that address housing, h</w:t>
      </w:r>
      <w:r>
        <w:rPr>
          <w:b/>
          <w:sz w:val="24"/>
          <w:szCs w:val="24"/>
        </w:rPr>
        <w:t>ealth, social services, employment, education, or youth needs</w:t>
      </w:r>
    </w:p>
    <w:p w:rsidR="005D4F50" w:rsidRDefault="002420D6">
      <w:pPr>
        <w:widowControl w:val="0"/>
        <w:spacing w:beforeAutospacing="1" w:afterAutospacing="1"/>
        <w:rPr>
          <w:rFonts w:cs="Arial"/>
        </w:rPr>
      </w:pPr>
      <w:r>
        <w:rPr>
          <w:rFonts w:cs="Arial"/>
        </w:rPr>
        <w:t>The City of Lawrence works with state and non-profit partners to ensure that people being discharged from publicly funded institutions are not discharged into homelessness. The Massachusetts Dep</w:t>
      </w:r>
      <w:r>
        <w:rPr>
          <w:rFonts w:cs="Arial"/>
        </w:rPr>
        <w:t xml:space="preserve">artment of Mental Health (DMH) has designated several managers as representatives to the Balance of State CoC and the MA ICHH who work on discharge planning. These managers are responsible for working with and monitoring all CoC providers providing mental </w:t>
      </w:r>
      <w:r>
        <w:rPr>
          <w:rFonts w:cs="Arial"/>
        </w:rPr>
        <w:t>health services and they work on discharge planning for participants with severe and chronic mental health issues. Several of the providers are also active CoC members. DMH works with other state agencies and their providers around mental health issues, st</w:t>
      </w:r>
      <w:r>
        <w:rPr>
          <w:rFonts w:cs="Arial"/>
        </w:rPr>
        <w:t xml:space="preserve">reet outreach and discharge planning. DMH is the state agency responsible for ensuring persons being discharged from the public mental health (MH) system are not discharged into homelessness. </w:t>
      </w:r>
    </w:p>
    <w:p w:rsidR="005D4F50" w:rsidRDefault="002420D6">
      <w:pPr>
        <w:widowControl w:val="0"/>
        <w:rPr>
          <w:b/>
          <w:sz w:val="24"/>
          <w:szCs w:val="24"/>
        </w:rPr>
      </w:pPr>
      <w:r>
        <w:rPr>
          <w:b/>
          <w:sz w:val="24"/>
          <w:szCs w:val="24"/>
        </w:rPr>
        <w:t>Helping homeless persons (especially chronically homeless indiv</w:t>
      </w:r>
      <w:r>
        <w:rPr>
          <w:b/>
          <w:sz w:val="24"/>
          <w:szCs w:val="24"/>
        </w:rPr>
        <w:t>iduals and families, families with children, veterans and their families, and unaccompanied youth) make the transition to permanent housing and independent living, including shortening the period of time that individuals and families experience homelessnes</w:t>
      </w:r>
      <w:r>
        <w:rPr>
          <w:b/>
          <w:sz w:val="24"/>
          <w:szCs w:val="24"/>
        </w:rPr>
        <w:t>s, facilitating access for homeless individuals and families to affordable housing units, and preventing individuals and families who were recently homeless from becoming homeless again</w:t>
      </w:r>
    </w:p>
    <w:p w:rsidR="005D4F50" w:rsidRDefault="002420D6">
      <w:pPr>
        <w:widowControl w:val="0"/>
        <w:spacing w:beforeAutospacing="1" w:afterAutospacing="1"/>
        <w:rPr>
          <w:rFonts w:cs="Arial"/>
        </w:rPr>
      </w:pPr>
      <w:r>
        <w:rPr>
          <w:rFonts w:cs="Arial"/>
        </w:rPr>
        <w:t>Lawrence is no longer its own CoC as it joined the Balance of State Co</w:t>
      </w:r>
      <w:r>
        <w:rPr>
          <w:rFonts w:cs="Arial"/>
        </w:rPr>
        <w:t>C several years ago and staff regularly participate in the Planning Group meeting that are held monthly.</w:t>
      </w:r>
      <w:r>
        <w:rPr>
          <w:rFonts w:cs="Arial"/>
        </w:rPr>
        <w:br/>
        <w:t xml:space="preserve">  Staff from the Community Development Department interacts with the public seeking assistance with housing needs on an ongoing basis by providing refe</w:t>
      </w:r>
      <w:r>
        <w:rPr>
          <w:rFonts w:cs="Arial"/>
        </w:rPr>
        <w:t xml:space="preserve">rrals to appropriate local agencies and service providers. As part of the Balance of State CoC Planning Group, the City participates in the Continuum of Care Grant Program Application including the Ranking and Review of renewal applications which requires </w:t>
      </w:r>
      <w:r>
        <w:rPr>
          <w:rFonts w:cs="Arial"/>
        </w:rPr>
        <w:t>discussion of how the applications meet the needs and priorities of the CoC.</w:t>
      </w:r>
      <w:r>
        <w:rPr>
          <w:rFonts w:cs="Arial"/>
        </w:rPr>
        <w:br/>
        <w:t>The Balance of State CoC launched a Coordinated Entry System for individuals and families and the City was an active participant in the creation of this system which will prioriti</w:t>
      </w:r>
      <w:r>
        <w:rPr>
          <w:rFonts w:cs="Arial"/>
        </w:rPr>
        <w:t>ze individuals with the greatest needs using a tool to determine vulnerability.Use of the Balance of State CoC coordinated entry system ensures that the most vulnerable chronic homeless individuals and families are prioritized and are more quickly and appr</w:t>
      </w:r>
      <w:r>
        <w:rPr>
          <w:rFonts w:cs="Arial"/>
        </w:rPr>
        <w:t>opriately placed in permanent, sustainable housing settings.</w:t>
      </w:r>
    </w:p>
    <w:p w:rsidR="005D4F50" w:rsidRDefault="005D4F50">
      <w:pPr>
        <w:widowControl w:val="0"/>
        <w:rPr>
          <w:rFonts w:cs="Arial"/>
          <w:szCs w:val="26"/>
        </w:rPr>
      </w:pPr>
    </w:p>
    <w:p w:rsidR="005D4F50" w:rsidRDefault="002420D6">
      <w:pPr>
        <w:pStyle w:val="Heading2"/>
        <w:pageBreakBefore/>
        <w:widowControl w:val="0"/>
        <w:rPr>
          <w:rFonts w:ascii="Calibri" w:hAnsi="Calibri"/>
          <w:i w:val="0"/>
        </w:rPr>
      </w:pPr>
      <w:r>
        <w:rPr>
          <w:rFonts w:ascii="Calibri" w:hAnsi="Calibri"/>
          <w:i w:val="0"/>
        </w:rPr>
        <w:lastRenderedPageBreak/>
        <w:t>CR-30 - Public Housing 91.220(h); 91.320(j)</w:t>
      </w:r>
    </w:p>
    <w:p w:rsidR="005D4F50" w:rsidRDefault="002420D6">
      <w:pPr>
        <w:keepNext/>
        <w:widowControl w:val="0"/>
        <w:rPr>
          <w:b/>
          <w:sz w:val="24"/>
          <w:szCs w:val="24"/>
        </w:rPr>
      </w:pPr>
      <w:r>
        <w:rPr>
          <w:b/>
          <w:sz w:val="24"/>
          <w:szCs w:val="24"/>
        </w:rPr>
        <w:t>Actions taken to address the needs of public housing</w:t>
      </w:r>
    </w:p>
    <w:p w:rsidR="005D4F50" w:rsidRDefault="002420D6">
      <w:pPr>
        <w:keepNext/>
        <w:widowControl w:val="0"/>
        <w:spacing w:beforeAutospacing="1" w:afterAutospacing="1"/>
        <w:rPr>
          <w:rFonts w:cs="Arial"/>
        </w:rPr>
      </w:pPr>
      <w:r>
        <w:rPr>
          <w:rFonts w:cs="Arial"/>
        </w:rPr>
        <w:t>The City of Lawrence has extremely limited resources to assist the Lawrence Housing Authority wit</w:t>
      </w:r>
      <w:r>
        <w:rPr>
          <w:rFonts w:cs="Arial"/>
        </w:rPr>
        <w:t xml:space="preserve">h its Capital Needs. The City has supported the LHA's efforts at the recapitalization and restructuring of its housing portfolio to accomplish needed capital projects and ensure long-term sustainability of the public housing stock. The City undertakes the </w:t>
      </w:r>
      <w:r>
        <w:rPr>
          <w:rFonts w:cs="Arial"/>
        </w:rPr>
        <w:t>required environmental review for the LHA’s HUD-funded capital projects.</w:t>
      </w:r>
    </w:p>
    <w:p w:rsidR="005D4F50" w:rsidRDefault="002420D6">
      <w:pPr>
        <w:keepNext/>
        <w:widowControl w:val="0"/>
        <w:spacing w:beforeAutospacing="1" w:afterAutospacing="1"/>
        <w:rPr>
          <w:rFonts w:cs="Arial"/>
        </w:rPr>
      </w:pPr>
      <w:r>
        <w:rPr>
          <w:rFonts w:cs="Arial"/>
        </w:rPr>
        <w:t>Additionally, a member of the OPD/CDD staff is on the LHA eviction committee, and Lead abatement job training paid with the lead grant is offered to LHA residents.</w:t>
      </w:r>
    </w:p>
    <w:p w:rsidR="005D4F50" w:rsidRDefault="002420D6">
      <w:pPr>
        <w:widowControl w:val="0"/>
        <w:rPr>
          <w:b/>
          <w:sz w:val="24"/>
          <w:szCs w:val="24"/>
        </w:rPr>
      </w:pPr>
      <w:r>
        <w:rPr>
          <w:b/>
          <w:sz w:val="24"/>
          <w:szCs w:val="24"/>
        </w:rPr>
        <w:t>Actions taken to en</w:t>
      </w:r>
      <w:r>
        <w:rPr>
          <w:b/>
          <w:sz w:val="24"/>
          <w:szCs w:val="24"/>
        </w:rPr>
        <w:t>courage public housing residents to become more involved in management and participate in homeownership</w:t>
      </w:r>
    </w:p>
    <w:p w:rsidR="005D4F50" w:rsidRDefault="002420D6">
      <w:pPr>
        <w:widowControl w:val="0"/>
        <w:spacing w:beforeAutospacing="1" w:afterAutospacing="1"/>
        <w:rPr>
          <w:rFonts w:cs="Arial"/>
        </w:rPr>
      </w:pPr>
      <w:r>
        <w:rPr>
          <w:rFonts w:cs="Arial"/>
        </w:rPr>
        <w:t>Resident Councils regularly engage with management on facility needs, management policies, and/or security issues. The LHA and the City will continue to</w:t>
      </w:r>
      <w:r>
        <w:rPr>
          <w:rFonts w:cs="Arial"/>
        </w:rPr>
        <w:t xml:space="preserve"> support resident engagement through support for public service programs which operate at LHA sites as well as through the recognition of Resident Organizations in the development of future plans.</w:t>
      </w:r>
      <w:r>
        <w:rPr>
          <w:rFonts w:cs="Arial"/>
        </w:rPr>
        <w:br/>
        <w:t xml:space="preserve"> LHA identifies management initiatives in their plan for HU</w:t>
      </w:r>
      <w:r>
        <w:rPr>
          <w:rFonts w:cs="Arial"/>
        </w:rPr>
        <w:t>D.</w:t>
      </w:r>
    </w:p>
    <w:p w:rsidR="005D4F50" w:rsidRDefault="002420D6">
      <w:pPr>
        <w:widowControl w:val="0"/>
        <w:rPr>
          <w:b/>
          <w:sz w:val="24"/>
          <w:szCs w:val="24"/>
        </w:rPr>
      </w:pPr>
      <w:r>
        <w:rPr>
          <w:b/>
          <w:sz w:val="24"/>
          <w:szCs w:val="24"/>
        </w:rPr>
        <w:t>Actions taken to provide assistance to troubled PHAs</w:t>
      </w:r>
    </w:p>
    <w:p w:rsidR="005D4F50" w:rsidRDefault="002420D6">
      <w:pPr>
        <w:widowControl w:val="0"/>
        <w:spacing w:beforeAutospacing="1" w:afterAutospacing="1"/>
        <w:rPr>
          <w:rFonts w:cs="Arial"/>
        </w:rPr>
      </w:pPr>
      <w:r>
        <w:rPr>
          <w:rFonts w:cs="Arial"/>
        </w:rPr>
        <w:t>The LHA is not troubled.</w:t>
      </w:r>
    </w:p>
    <w:p w:rsidR="005D4F50" w:rsidRDefault="002420D6">
      <w:pPr>
        <w:pStyle w:val="Heading2"/>
        <w:pageBreakBefore/>
        <w:widowControl w:val="0"/>
        <w:rPr>
          <w:rFonts w:ascii="Calibri" w:hAnsi="Calibri"/>
          <w:i w:val="0"/>
        </w:rPr>
      </w:pPr>
      <w:r>
        <w:rPr>
          <w:rFonts w:ascii="Calibri" w:hAnsi="Calibri"/>
          <w:i w:val="0"/>
        </w:rPr>
        <w:lastRenderedPageBreak/>
        <w:t>CR-35 - Other Actions 91.220(j)-(k); 91.320(i)-(j)</w:t>
      </w:r>
    </w:p>
    <w:p w:rsidR="005D4F50" w:rsidRDefault="002420D6">
      <w:pPr>
        <w:widowControl w:val="0"/>
        <w:rPr>
          <w:b/>
          <w:sz w:val="24"/>
          <w:szCs w:val="24"/>
        </w:rPr>
      </w:pPr>
      <w:r>
        <w:rPr>
          <w:b/>
          <w:sz w:val="24"/>
          <w:szCs w:val="24"/>
        </w:rPr>
        <w:t>Actions taken to remove or ameliorate the negative effects of public policies that serve as barriers to affordable housing s</w:t>
      </w:r>
      <w:r>
        <w:rPr>
          <w:b/>
          <w:sz w:val="24"/>
          <w:szCs w:val="24"/>
        </w:rPr>
        <w:t>uch as land use controls, tax policies affecting land, zoning ordinances, building codes, fees and charges, growth limitations, and policies affecting the return on residential investment. 91.220 (j); 91.320 (i)</w:t>
      </w:r>
    </w:p>
    <w:p w:rsidR="005D4F50" w:rsidRDefault="002420D6">
      <w:pPr>
        <w:widowControl w:val="0"/>
        <w:spacing w:beforeAutospacing="1" w:afterAutospacing="1"/>
        <w:rPr>
          <w:rFonts w:cs="Arial"/>
        </w:rPr>
      </w:pPr>
      <w:r>
        <w:rPr>
          <w:rFonts w:cs="Arial"/>
        </w:rPr>
        <w:t xml:space="preserve">The City has adopted several ordinances and </w:t>
      </w:r>
      <w:r>
        <w:rPr>
          <w:rFonts w:cs="Arial"/>
        </w:rPr>
        <w:t>strategies which encourage the development of new housing. In December 2024, we adopted an amendment to our zoning ordinance, establishing the requirements of Section 3A of GL 40A (MBTA Communities Law) which adopted a "by-right" requirement for new multi-</w:t>
      </w:r>
      <w:r>
        <w:rPr>
          <w:rFonts w:cs="Arial"/>
        </w:rPr>
        <w:t>family housing production.</w:t>
      </w:r>
    </w:p>
    <w:p w:rsidR="005D4F50" w:rsidRDefault="002420D6">
      <w:pPr>
        <w:widowControl w:val="0"/>
        <w:spacing w:beforeAutospacing="1" w:afterAutospacing="1"/>
        <w:rPr>
          <w:rFonts w:cs="Arial"/>
        </w:rPr>
      </w:pPr>
      <w:r>
        <w:rPr>
          <w:rFonts w:cs="Arial"/>
        </w:rPr>
        <w:t>We also amended one of our new Industrial Districts;  I-4 or Planned Industrial Development District, to require a 20% threshold for affordable housing as part of the permitting requirements.</w:t>
      </w:r>
    </w:p>
    <w:p w:rsidR="005D4F50" w:rsidRDefault="002420D6">
      <w:pPr>
        <w:widowControl w:val="0"/>
        <w:spacing w:beforeAutospacing="1" w:afterAutospacing="1"/>
        <w:rPr>
          <w:rFonts w:cs="Arial"/>
        </w:rPr>
      </w:pPr>
      <w:r>
        <w:rPr>
          <w:rFonts w:cs="Arial"/>
        </w:rPr>
        <w:t>We are also working on our fourth Sma</w:t>
      </w:r>
      <w:r>
        <w:rPr>
          <w:rFonts w:cs="Arial"/>
        </w:rPr>
        <w:t>rt Growth District or "40R" which allows permitting of multi-family homes, again "by-right".</w:t>
      </w:r>
    </w:p>
    <w:p w:rsidR="005D4F50" w:rsidRDefault="002420D6">
      <w:pPr>
        <w:widowControl w:val="0"/>
        <w:rPr>
          <w:b/>
          <w:sz w:val="24"/>
          <w:szCs w:val="24"/>
        </w:rPr>
      </w:pPr>
      <w:r>
        <w:rPr>
          <w:b/>
          <w:sz w:val="24"/>
          <w:szCs w:val="24"/>
        </w:rPr>
        <w:t>Actions taken to address obstacles to meeting underserved needs.  91.220(k); 91.320(j)</w:t>
      </w:r>
    </w:p>
    <w:p w:rsidR="005D4F50" w:rsidRDefault="002420D6">
      <w:pPr>
        <w:widowControl w:val="0"/>
        <w:spacing w:beforeAutospacing="1" w:afterAutospacing="1"/>
        <w:rPr>
          <w:rFonts w:cs="Arial"/>
        </w:rPr>
      </w:pPr>
      <w:r>
        <w:rPr>
          <w:rFonts w:cs="Arial"/>
        </w:rPr>
        <w:t xml:space="preserve">Homeownership continues to be an underserved need and we continue to program HOME funds each year toward this. Additionally, given Lawrence’s high percentage of old housing stock, our CDBG funds serve as a match and complement our lead abatement program’s </w:t>
      </w:r>
      <w:r>
        <w:rPr>
          <w:rFonts w:cs="Arial"/>
        </w:rPr>
        <w:t>housing rehabilitation work.</w:t>
      </w:r>
      <w:r>
        <w:rPr>
          <w:rFonts w:cs="Arial"/>
        </w:rPr>
        <w:br/>
        <w:t>The Homelessness Initiatives Coordinator continues to work closely with local government, area providers, and law enforcement to address issues faced by chronically homeless individuals. The Homelessness Initiatives Working Gro</w:t>
      </w:r>
      <w:r>
        <w:rPr>
          <w:rFonts w:cs="Arial"/>
        </w:rPr>
        <w:t>up under the City of Lawrence Mayor’s Health Task Force no longer exists. The work has been assumed by the Merrimack Valley Homelessness Group that is chaired by Dr. Ryan Dono of the Greater Lawrence Family Health Center.</w:t>
      </w:r>
      <w:r>
        <w:rPr>
          <w:rFonts w:cs="Arial"/>
        </w:rPr>
        <w:br/>
        <w:t xml:space="preserve"> • Downpayment and closing cost as</w:t>
      </w:r>
      <w:r>
        <w:rPr>
          <w:rFonts w:cs="Arial"/>
        </w:rPr>
        <w:t>sistance that allows low and moderate income buyers to buy a home;</w:t>
      </w:r>
      <w:r>
        <w:rPr>
          <w:rFonts w:cs="Arial"/>
        </w:rPr>
        <w:br/>
        <w:t>• Rehabilitation support to “mom and pop” owners of two and three family stock, recognizing their role in providing affordable rental units;</w:t>
      </w:r>
      <w:r>
        <w:rPr>
          <w:rFonts w:cs="Arial"/>
        </w:rPr>
        <w:br/>
        <w:t>• Utilization of tax-title and/or municipal prop</w:t>
      </w:r>
      <w:r>
        <w:rPr>
          <w:rFonts w:cs="Arial"/>
        </w:rPr>
        <w:t>erties to expand housing and economic opportunities designed to increase resident income</w:t>
      </w:r>
    </w:p>
    <w:p w:rsidR="005D4F50" w:rsidRDefault="002420D6">
      <w:pPr>
        <w:widowControl w:val="0"/>
        <w:rPr>
          <w:b/>
          <w:sz w:val="24"/>
          <w:szCs w:val="24"/>
        </w:rPr>
      </w:pPr>
      <w:r>
        <w:rPr>
          <w:b/>
          <w:sz w:val="24"/>
          <w:szCs w:val="24"/>
        </w:rPr>
        <w:t>Actions taken to reduce lead-based paint hazards. 91.220(k); 91.320(j)</w:t>
      </w:r>
    </w:p>
    <w:p w:rsidR="005D4F50" w:rsidRDefault="002420D6">
      <w:pPr>
        <w:widowControl w:val="0"/>
        <w:numPr>
          <w:ilvl w:val="0"/>
          <w:numId w:val="3"/>
        </w:numPr>
        <w:spacing w:beforeAutospacing="1" w:afterAutospacing="1"/>
        <w:rPr>
          <w:rFonts w:cs="Arial"/>
        </w:rPr>
      </w:pPr>
      <w:r>
        <w:rPr>
          <w:rFonts w:cs="Arial"/>
        </w:rPr>
        <w:t>Project management, technical assistance, and matching funds for Healthy Homes and Lead Hazard C</w:t>
      </w:r>
      <w:r>
        <w:rPr>
          <w:rFonts w:cs="Arial"/>
        </w:rPr>
        <w:t>ontrol grants. The City has a Lead Hazard Reduction Grant with a Healthy Homes Supplement from the Office of Healthy Homes and Lead Hazard Control. </w:t>
      </w:r>
    </w:p>
    <w:p w:rsidR="005D4F50" w:rsidRDefault="002420D6">
      <w:pPr>
        <w:widowControl w:val="0"/>
        <w:numPr>
          <w:ilvl w:val="0"/>
          <w:numId w:val="3"/>
        </w:numPr>
        <w:spacing w:beforeAutospacing="1" w:afterAutospacing="1"/>
        <w:rPr>
          <w:rFonts w:cs="Arial"/>
        </w:rPr>
      </w:pPr>
      <w:r>
        <w:rPr>
          <w:rFonts w:cs="Arial"/>
        </w:rPr>
        <w:t>Continued participation by the City in the State's Get the Lead Out program which provides the City with access to rehabilitation funding for lead-based paint removal through the local CDFI.</w:t>
      </w:r>
    </w:p>
    <w:p w:rsidR="005D4F50" w:rsidRDefault="002420D6">
      <w:pPr>
        <w:widowControl w:val="0"/>
        <w:rPr>
          <w:b/>
          <w:sz w:val="24"/>
          <w:szCs w:val="24"/>
        </w:rPr>
      </w:pPr>
      <w:r>
        <w:rPr>
          <w:b/>
          <w:sz w:val="24"/>
          <w:szCs w:val="24"/>
        </w:rPr>
        <w:lastRenderedPageBreak/>
        <w:t>Actions taken to reduce the number of poverty-level families. 91.</w:t>
      </w:r>
      <w:r>
        <w:rPr>
          <w:b/>
          <w:sz w:val="24"/>
          <w:szCs w:val="24"/>
        </w:rPr>
        <w:t>220(k); 91.320(j)</w:t>
      </w:r>
    </w:p>
    <w:p w:rsidR="005D4F50" w:rsidRDefault="002420D6">
      <w:pPr>
        <w:widowControl w:val="0"/>
        <w:spacing w:beforeAutospacing="1" w:afterAutospacing="1"/>
        <w:rPr>
          <w:rFonts w:cs="Arial"/>
        </w:rPr>
      </w:pPr>
      <w:r>
        <w:rPr>
          <w:rFonts w:cs="Arial"/>
        </w:rPr>
        <w:t>The City, primarily through the Mayor’s Health Task Force (MHTF), also participates in the GLFHC Social Determinants of Health working group, a collaboration between the local health clinic, Northeast Legal Aid, and the MHTF. This group i</w:t>
      </w:r>
      <w:r>
        <w:rPr>
          <w:rFonts w:cs="Arial"/>
        </w:rPr>
        <w:t>s using an assessment tool as the gateway to assess for other socioeconomic needs of patients and to partner with community groups, as well as legal services to support those who are housing insecure. Through this collaboration, the group is about to launc</w:t>
      </w:r>
      <w:r>
        <w:rPr>
          <w:rFonts w:cs="Arial"/>
        </w:rPr>
        <w:t xml:space="preserve">h a map layer that will show the correlation between food insecurity and incidences of chronic diseases which will serve as a tool for health prevention planning. </w:t>
      </w:r>
      <w:r>
        <w:rPr>
          <w:rFonts w:cs="Arial"/>
        </w:rPr>
        <w:br/>
        <w:t>The CDBG funding allocation to Emmaus supports permanent housing efforts paired with support</w:t>
      </w:r>
      <w:r>
        <w:rPr>
          <w:rFonts w:cs="Arial"/>
        </w:rPr>
        <w:t>ive services.</w:t>
      </w:r>
    </w:p>
    <w:p w:rsidR="005D4F50" w:rsidRDefault="002420D6">
      <w:pPr>
        <w:widowControl w:val="0"/>
        <w:rPr>
          <w:b/>
          <w:sz w:val="24"/>
          <w:szCs w:val="24"/>
        </w:rPr>
      </w:pPr>
      <w:r>
        <w:rPr>
          <w:b/>
          <w:sz w:val="24"/>
          <w:szCs w:val="24"/>
        </w:rPr>
        <w:t>Actions taken to develop institutional structure. 91.220(k); 91.320(j)</w:t>
      </w:r>
    </w:p>
    <w:p w:rsidR="005D4F50" w:rsidRDefault="002420D6">
      <w:pPr>
        <w:widowControl w:val="0"/>
        <w:spacing w:beforeAutospacing="1" w:afterAutospacing="1"/>
        <w:rPr>
          <w:rFonts w:cs="Arial"/>
        </w:rPr>
      </w:pPr>
      <w:r>
        <w:rPr>
          <w:rFonts w:cs="Arial"/>
        </w:rPr>
        <w:t>The Office of Planning and Development (which includes the Community Development Department) will continue to engage other City departments and public-private partnerships</w:t>
      </w:r>
      <w:r>
        <w:rPr>
          <w:rFonts w:cs="Arial"/>
        </w:rPr>
        <w:t>, such as the Mayor's Health Task Force, in the implementation of the activities identified within the Annual Action Plan. Through enhanced coordination, the CDBG and HOME funded activities are an essential piece of larger community revitalization efforts.</w:t>
      </w:r>
    </w:p>
    <w:p w:rsidR="005D4F50" w:rsidRDefault="002420D6">
      <w:pPr>
        <w:widowControl w:val="0"/>
        <w:rPr>
          <w:b/>
          <w:sz w:val="24"/>
          <w:szCs w:val="24"/>
        </w:rPr>
      </w:pPr>
      <w:r>
        <w:rPr>
          <w:b/>
          <w:sz w:val="24"/>
          <w:szCs w:val="24"/>
        </w:rPr>
        <w:t>Actions taken to enhance coordination between public and private housing and social service agencies. 91.220(k); 91.320(j)</w:t>
      </w:r>
    </w:p>
    <w:p w:rsidR="005D4F50" w:rsidRDefault="002420D6">
      <w:pPr>
        <w:widowControl w:val="0"/>
        <w:numPr>
          <w:ilvl w:val="0"/>
          <w:numId w:val="3"/>
        </w:numPr>
        <w:spacing w:beforeAutospacing="1" w:afterAutospacing="1"/>
        <w:rPr>
          <w:rFonts w:cs="Arial"/>
        </w:rPr>
      </w:pPr>
      <w:r>
        <w:rPr>
          <w:rFonts w:cs="Arial"/>
        </w:rPr>
        <w:t>Convene Mayoral task forces on a number of important initiatives such as health and the provision of ESOL classes</w:t>
      </w:r>
    </w:p>
    <w:p w:rsidR="005D4F50" w:rsidRDefault="002420D6">
      <w:pPr>
        <w:widowControl w:val="0"/>
        <w:numPr>
          <w:ilvl w:val="0"/>
          <w:numId w:val="3"/>
        </w:numPr>
        <w:spacing w:beforeAutospacing="1" w:afterAutospacing="1"/>
        <w:rPr>
          <w:rFonts w:cs="Arial"/>
        </w:rPr>
      </w:pPr>
      <w:r>
        <w:rPr>
          <w:rFonts w:cs="Arial"/>
        </w:rPr>
        <w:t>Participate in pub</w:t>
      </w:r>
      <w:r>
        <w:rPr>
          <w:rFonts w:cs="Arial"/>
        </w:rPr>
        <w:t>lic-private partnerships such as the Lawrence Partnership.</w:t>
      </w:r>
    </w:p>
    <w:p w:rsidR="005D4F50" w:rsidRDefault="002420D6">
      <w:pPr>
        <w:widowControl w:val="0"/>
        <w:numPr>
          <w:ilvl w:val="0"/>
          <w:numId w:val="3"/>
        </w:numPr>
        <w:spacing w:beforeAutospacing="1" w:afterAutospacing="1"/>
        <w:rPr>
          <w:rFonts w:cs="Arial"/>
        </w:rPr>
      </w:pPr>
      <w:r>
        <w:rPr>
          <w:rFonts w:cs="Arial"/>
        </w:rPr>
        <w:t>Encourage and support residential development of currently vacant space in the downtown area.</w:t>
      </w:r>
    </w:p>
    <w:p w:rsidR="005D4F50" w:rsidRDefault="002420D6">
      <w:pPr>
        <w:widowControl w:val="0"/>
        <w:numPr>
          <w:ilvl w:val="0"/>
          <w:numId w:val="3"/>
        </w:numPr>
        <w:spacing w:beforeAutospacing="1" w:afterAutospacing="1"/>
        <w:rPr>
          <w:rFonts w:cs="Arial"/>
        </w:rPr>
      </w:pPr>
      <w:r>
        <w:rPr>
          <w:rFonts w:cs="Arial"/>
        </w:rPr>
        <w:t> Under the We Are Lawrence/Somos Lawrence (www.wearelawrence.org) platform, a large number of public an</w:t>
      </w:r>
      <w:r>
        <w:rPr>
          <w:rFonts w:cs="Arial"/>
        </w:rPr>
        <w:t>d private organizations came together to better coordinate a response to the COVID-19 pandemic, creating a series of sub-groups with targeted focus on a variety of issues, including homelessness, food insecurity, financial &amp; housing instability, education,</w:t>
      </w:r>
      <w:r>
        <w:rPr>
          <w:rFonts w:cs="Arial"/>
        </w:rPr>
        <w:t xml:space="preserve"> outreach, and policy. Community Development staff has actively participated in these groups to help guide some of the decision-making.</w:t>
      </w:r>
    </w:p>
    <w:p w:rsidR="005D4F50" w:rsidRDefault="002420D6">
      <w:pPr>
        <w:widowControl w:val="0"/>
        <w:rPr>
          <w:b/>
          <w:sz w:val="24"/>
          <w:szCs w:val="24"/>
        </w:rPr>
      </w:pPr>
      <w:r>
        <w:rPr>
          <w:b/>
          <w:sz w:val="24"/>
          <w:szCs w:val="24"/>
        </w:rPr>
        <w:t>Identify actions taken to overcome the effects of any impediments identified in the jurisdictions analysis of impediment</w:t>
      </w:r>
      <w:r>
        <w:rPr>
          <w:b/>
          <w:sz w:val="24"/>
          <w:szCs w:val="24"/>
        </w:rPr>
        <w:t>s to fair housing choice.  91.520(a)</w:t>
      </w:r>
    </w:p>
    <w:p w:rsidR="005D4F50" w:rsidRDefault="002420D6">
      <w:pPr>
        <w:widowControl w:val="0"/>
        <w:spacing w:beforeAutospacing="1" w:afterAutospacing="1"/>
        <w:rPr>
          <w:rFonts w:cs="Arial"/>
        </w:rPr>
      </w:pPr>
      <w:r>
        <w:rPr>
          <w:rFonts w:cs="Arial"/>
        </w:rPr>
        <w:t>The last analysis of impediments conducted by the City identified low income as the single most significant impediment. Our HOME-funded DP assistance program addresses this. Our goal is to conduct a new analysis of impe</w:t>
      </w:r>
      <w:r>
        <w:rPr>
          <w:rFonts w:cs="Arial"/>
        </w:rPr>
        <w:t>diments.</w:t>
      </w:r>
    </w:p>
    <w:p w:rsidR="005D4F50" w:rsidRDefault="002420D6">
      <w:pPr>
        <w:pStyle w:val="Heading2"/>
        <w:pageBreakBefore/>
        <w:widowControl w:val="0"/>
        <w:rPr>
          <w:rFonts w:ascii="Calibri" w:hAnsi="Calibri"/>
          <w:i w:val="0"/>
        </w:rPr>
      </w:pPr>
      <w:r>
        <w:rPr>
          <w:rFonts w:ascii="Calibri" w:hAnsi="Calibri"/>
          <w:i w:val="0"/>
        </w:rPr>
        <w:lastRenderedPageBreak/>
        <w:t>CR-40 - Monitoring 91.220 and 91.230</w:t>
      </w:r>
    </w:p>
    <w:p w:rsidR="005D4F50" w:rsidRDefault="002420D6">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w:t>
      </w:r>
      <w:r>
        <w:rPr>
          <w:b/>
          <w:sz w:val="24"/>
          <w:szCs w:val="24"/>
        </w:rPr>
        <w:t>iness outreach and the comprehensive planning requirements</w:t>
      </w:r>
    </w:p>
    <w:p w:rsidR="005D4F50" w:rsidRDefault="005D4F50">
      <w:pPr>
        <w:widowControl w:val="0"/>
        <w:rPr>
          <w:rFonts w:cs="Arial"/>
        </w:rPr>
      </w:pPr>
    </w:p>
    <w:p w:rsidR="005D4F50" w:rsidRDefault="005D4F50">
      <w:pPr>
        <w:widowControl w:val="0"/>
        <w:rPr>
          <w:rFonts w:cs="Arial"/>
        </w:rPr>
      </w:pPr>
    </w:p>
    <w:p w:rsidR="005D4F50" w:rsidRDefault="002420D6">
      <w:pPr>
        <w:widowControl w:val="0"/>
        <w:rPr>
          <w:b/>
          <w:sz w:val="24"/>
          <w:szCs w:val="24"/>
        </w:rPr>
      </w:pPr>
      <w:r>
        <w:rPr>
          <w:b/>
          <w:sz w:val="24"/>
          <w:szCs w:val="24"/>
        </w:rPr>
        <w:t>Citizen Participation Plan 91.105(d); 91.115(d)</w:t>
      </w:r>
    </w:p>
    <w:p w:rsidR="005D4F50" w:rsidRDefault="002420D6">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5D4F50" w:rsidRDefault="002420D6">
      <w:pPr>
        <w:spacing w:beforeAutospacing="1" w:afterAutospacing="1"/>
      </w:pPr>
      <w:r>
        <w:t>The City of Lawrence places a</w:t>
      </w:r>
      <w:r>
        <w:t xml:space="preserve"> legal notice in the Eagle Tribune, the local mainstream newspaper with the greatest circulation, about the availability of the CAPER for public comment. Hard copies are made available at the Office of Planning &amp; Development, the City Clerk's office and th</w:t>
      </w:r>
      <w:r>
        <w:t>e Lawrence Public Library. The CAPER is also uploaded to the City's website at https://www.cityoflawrence.com/715/HUD-CAPER .  </w:t>
      </w:r>
    </w:p>
    <w:p w:rsidR="005D4F50" w:rsidRDefault="002420D6">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rsidR="005D4F50" w:rsidRDefault="002420D6">
      <w:pPr>
        <w:widowControl w:val="0"/>
        <w:rPr>
          <w:b/>
          <w:sz w:val="24"/>
          <w:szCs w:val="24"/>
        </w:rPr>
      </w:pPr>
      <w:r>
        <w:rPr>
          <w:b/>
          <w:sz w:val="24"/>
          <w:szCs w:val="24"/>
        </w:rPr>
        <w:t xml:space="preserve">Specify the nature of, and reasons for, any changes in the jurisdiction’s program objectives and </w:t>
      </w:r>
      <w:r>
        <w:rPr>
          <w:b/>
          <w:sz w:val="24"/>
          <w:szCs w:val="24"/>
        </w:rPr>
        <w:t>indications of how the jurisdiction would change its programs as a result of its experiences.</w:t>
      </w:r>
    </w:p>
    <w:p w:rsidR="005D4F50" w:rsidRDefault="002420D6">
      <w:pPr>
        <w:widowControl w:val="0"/>
        <w:spacing w:beforeAutospacing="1" w:afterAutospacing="1"/>
        <w:rPr>
          <w:rFonts w:cs="Arial"/>
        </w:rPr>
      </w:pPr>
      <w:r>
        <w:rPr>
          <w:rFonts w:cs="Arial"/>
        </w:rPr>
        <w:t>The City has been using a portion of its CDBG grant to make principal and interest payments on a Section 108 loan for the Gateway Parking. The last note was defea</w:t>
      </w:r>
      <w:r>
        <w:rPr>
          <w:rFonts w:cs="Arial"/>
        </w:rPr>
        <w:t>sed in May 2025. No further payments will need to be made. The parking lot is complete along with an adjacent park. The Merrimack Valley Regional Transit Authority (MVRTA) is running the parking lot. It has been operating with a deficit since it opened and</w:t>
      </w:r>
      <w:r>
        <w:rPr>
          <w:rFonts w:cs="Arial"/>
        </w:rPr>
        <w:t xml:space="preserve"> the MVRTA has not been able to make any payments to the City except for one time in 2012. The City has engaged an attorney to negotiate a new MOA that will remove the MVRTA, now called MeVa, and the City will take over operations of the parking lot.  </w:t>
      </w:r>
    </w:p>
    <w:p w:rsidR="005D4F50" w:rsidRDefault="002420D6">
      <w:pPr>
        <w:widowControl w:val="0"/>
        <w:rPr>
          <w:b/>
          <w:sz w:val="24"/>
          <w:szCs w:val="24"/>
        </w:rPr>
      </w:pPr>
      <w:r>
        <w:rPr>
          <w:b/>
          <w:sz w:val="24"/>
          <w:szCs w:val="24"/>
        </w:rPr>
        <w:t>Doe</w:t>
      </w:r>
      <w:r>
        <w:rPr>
          <w:b/>
          <w:sz w:val="24"/>
          <w:szCs w:val="24"/>
        </w:rPr>
        <w:t>s this Jurisdiction have any open Brownfields Economic Development Initiative (BEDI) grants?</w:t>
      </w:r>
    </w:p>
    <w:p w:rsidR="005D4F50" w:rsidRDefault="002420D6">
      <w:pPr>
        <w:widowControl w:val="0"/>
        <w:spacing w:beforeAutospacing="1" w:afterAutospacing="1"/>
        <w:rPr>
          <w:rFonts w:cs="Arial"/>
        </w:rPr>
      </w:pPr>
      <w:r>
        <w:rPr>
          <w:rFonts w:cs="Arial"/>
        </w:rPr>
        <w:t>No</w:t>
      </w:r>
    </w:p>
    <w:p w:rsidR="005D4F50" w:rsidRDefault="002420D6">
      <w:pPr>
        <w:widowControl w:val="0"/>
        <w:rPr>
          <w:b/>
          <w:sz w:val="24"/>
          <w:szCs w:val="24"/>
        </w:rPr>
      </w:pPr>
      <w:r>
        <w:rPr>
          <w:b/>
          <w:sz w:val="24"/>
          <w:szCs w:val="24"/>
        </w:rPr>
        <w:t>[BEDI grantees]  Describe accomplishments and program outcomes during the last year.</w:t>
      </w:r>
    </w:p>
    <w:p w:rsidR="005D4F50" w:rsidRDefault="005D4F50">
      <w:pPr>
        <w:widowControl w:val="0"/>
        <w:rPr>
          <w:rFonts w:cs="Arial"/>
        </w:rPr>
      </w:pPr>
    </w:p>
    <w:p w:rsidR="005D4F50" w:rsidRDefault="005D4F50"/>
    <w:p w:rsidR="005D4F50" w:rsidRDefault="005D4F50"/>
    <w:p w:rsidR="005D4F50" w:rsidRDefault="002420D6">
      <w:pPr>
        <w:pStyle w:val="Heading2"/>
        <w:pageBreakBefore/>
        <w:widowControl w:val="0"/>
        <w:rPr>
          <w:rFonts w:ascii="Calibri" w:hAnsi="Calibri"/>
          <w:i w:val="0"/>
        </w:rPr>
      </w:pPr>
      <w:r>
        <w:rPr>
          <w:rFonts w:ascii="Calibri" w:hAnsi="Calibri"/>
          <w:i w:val="0"/>
        </w:rPr>
        <w:lastRenderedPageBreak/>
        <w:t>CR-50 - HOME 24 CFR 91.520(d)</w:t>
      </w:r>
    </w:p>
    <w:p w:rsidR="005D4F50" w:rsidRDefault="002420D6">
      <w:pPr>
        <w:widowControl w:val="0"/>
        <w:rPr>
          <w:b/>
          <w:sz w:val="24"/>
          <w:szCs w:val="24"/>
        </w:rPr>
      </w:pPr>
      <w:r>
        <w:rPr>
          <w:b/>
          <w:sz w:val="24"/>
          <w:szCs w:val="24"/>
        </w:rPr>
        <w:t>Include the results of on-site inspections</w:t>
      </w:r>
      <w:r>
        <w:rPr>
          <w:b/>
          <w:sz w:val="24"/>
          <w:szCs w:val="24"/>
        </w:rPr>
        <w:t xml:space="preserve"> of affordable rental housing assisted under the program to determine compliance with housing codes and other applicable regulations </w:t>
      </w:r>
    </w:p>
    <w:p w:rsidR="005D4F50" w:rsidRDefault="002420D6">
      <w:pPr>
        <w:widowControl w:val="0"/>
        <w:rPr>
          <w:sz w:val="24"/>
          <w:szCs w:val="24"/>
        </w:rPr>
      </w:pPr>
      <w:r>
        <w:rPr>
          <w:sz w:val="24"/>
          <w:szCs w:val="24"/>
        </w:rPr>
        <w:t>Please list those projects that should have been inspected on-site this program year based upon the schedule in 24 CFR §92</w:t>
      </w:r>
      <w:r>
        <w:rPr>
          <w:sz w:val="24"/>
          <w:szCs w:val="24"/>
        </w:rPr>
        <w:t>.504(d). Indicate which of these were inspected and a summary of issues that were detected during the inspection. For those that were not inspected, please indicate the reason and how you will remedy the situation.</w:t>
      </w:r>
    </w:p>
    <w:p w:rsidR="005D4F50" w:rsidRDefault="002420D6">
      <w:pPr>
        <w:widowControl w:val="0"/>
        <w:spacing w:beforeAutospacing="1" w:afterAutospacing="1"/>
        <w:rPr>
          <w:rFonts w:cs="Arial"/>
        </w:rPr>
      </w:pPr>
      <w:r>
        <w:rPr>
          <w:rFonts w:cs="Arial"/>
        </w:rPr>
        <w:t> </w:t>
      </w:r>
    </w:p>
    <w:p w:rsidR="005D4F50" w:rsidRDefault="002420D6">
      <w:pPr>
        <w:widowControl w:val="0"/>
        <w:spacing w:beforeAutospacing="1" w:afterAutospacing="1"/>
        <w:rPr>
          <w:rFonts w:cs="Arial"/>
        </w:rPr>
      </w:pPr>
      <w:r>
        <w:rPr>
          <w:rFonts w:cs="Arial"/>
        </w:rPr>
        <w:t>The ten properties that were not inspec</w:t>
      </w:r>
      <w:r>
        <w:rPr>
          <w:rFonts w:cs="Arial"/>
        </w:rPr>
        <w:t>ted at due time is because of a combination of new and limited staff which created a complex situation that caused significant project delays. These factors lead to decreased productivity, knowledge gaps, and missed milestones. We will remedy the situation</w:t>
      </w:r>
      <w:r>
        <w:rPr>
          <w:rFonts w:cs="Arial"/>
        </w:rPr>
        <w:t xml:space="preserve"> by scheduling these properties in the following 3-4 weeks to be up to date promptly.</w:t>
      </w:r>
    </w:p>
    <w:p w:rsidR="005D4F50" w:rsidRDefault="002420D6">
      <w:pPr>
        <w:widowControl w:val="0"/>
        <w:rPr>
          <w:b/>
          <w:sz w:val="24"/>
          <w:szCs w:val="24"/>
        </w:rPr>
      </w:pPr>
      <w:r>
        <w:rPr>
          <w:b/>
          <w:sz w:val="24"/>
          <w:szCs w:val="24"/>
        </w:rPr>
        <w:t>Provide an assessment of the jurisdiction's affirmative marketing actions for HOME units. 24 CFR 91.520(e) and 24 CFR 92.351(a)</w:t>
      </w:r>
    </w:p>
    <w:p w:rsidR="005D4F50" w:rsidRDefault="002420D6">
      <w:pPr>
        <w:widowControl w:val="0"/>
        <w:spacing w:beforeAutospacing="1" w:afterAutospacing="1"/>
        <w:rPr>
          <w:rFonts w:cs="Arial"/>
        </w:rPr>
      </w:pPr>
      <w:r>
        <w:rPr>
          <w:rFonts w:cs="Arial"/>
        </w:rPr>
        <w:t xml:space="preserve">All HOME funded development projects have </w:t>
      </w:r>
      <w:r>
        <w:rPr>
          <w:rFonts w:cs="Arial"/>
        </w:rPr>
        <w:t>an affirmative marketing plan which OPD and EOHLC review.</w:t>
      </w:r>
    </w:p>
    <w:p w:rsidR="005D4F50" w:rsidRDefault="002420D6">
      <w:pPr>
        <w:widowControl w:val="0"/>
        <w:rPr>
          <w:b/>
          <w:sz w:val="24"/>
          <w:szCs w:val="24"/>
        </w:rPr>
      </w:pPr>
      <w:r>
        <w:rPr>
          <w:b/>
          <w:sz w:val="24"/>
          <w:szCs w:val="24"/>
        </w:rPr>
        <w:t>Refer to IDIS reports to describe the amount and use of program income for projects, including the number of projects and owner and tenant characteristics</w:t>
      </w:r>
    </w:p>
    <w:p w:rsidR="005D4F50" w:rsidRDefault="005D4F50">
      <w:pPr>
        <w:spacing w:beforeAutospacing="1" w:afterAutospacing="1"/>
      </w:pPr>
    </w:p>
    <w:p w:rsidR="005D4F50" w:rsidRDefault="002420D6">
      <w:pPr>
        <w:widowControl w:val="0"/>
        <w:rPr>
          <w:b/>
          <w:sz w:val="24"/>
          <w:szCs w:val="24"/>
        </w:rPr>
      </w:pPr>
      <w:r>
        <w:rPr>
          <w:b/>
          <w:sz w:val="24"/>
          <w:szCs w:val="24"/>
        </w:rPr>
        <w:t>Describe other actions taken to foster and</w:t>
      </w:r>
      <w:r>
        <w:rPr>
          <w:b/>
          <w:sz w:val="24"/>
          <w:szCs w:val="24"/>
        </w:rPr>
        <w:t xml:space="preserve"> maintain affordable housing. 24 CFR 91.220(k) (STATES ONLY: Including the coordination of LIHTC with the development of affordable housing). 24 CFR 91.320(j)</w:t>
      </w:r>
    </w:p>
    <w:p w:rsidR="005D4F50" w:rsidRDefault="002420D6">
      <w:pPr>
        <w:widowControl w:val="0"/>
        <w:spacing w:beforeAutospacing="1" w:afterAutospacing="1"/>
        <w:rPr>
          <w:rFonts w:cs="Arial"/>
        </w:rPr>
      </w:pPr>
      <w:r>
        <w:rPr>
          <w:rFonts w:cs="Arial"/>
        </w:rPr>
        <w:t xml:space="preserve">HOME funds were committed to support Phase 2 of the Island Parkside housing development project, to create 40 new units of rental housing, for a total commitment of $700,000. The initial commitment was $400,000 but the cost of construction has skyrocketed </w:t>
      </w:r>
      <w:r>
        <w:rPr>
          <w:rFonts w:cs="Arial"/>
        </w:rPr>
        <w:t>and the developer requested an additional $300,000 that the Mayor approved.  A commitment of $400,000 in HOME funds was made to support a funding application for the development of 86 units of rental housing at the Stone Mill. Again, the cost of constructi</w:t>
      </w:r>
      <w:r>
        <w:rPr>
          <w:rFonts w:cs="Arial"/>
        </w:rPr>
        <w:t>on has skyrocketed and the developer requested an additional $100,000 that the Mayor approved. A second request for additional funding was received for $500,000. The Mayor awarded $350,000 bringing the total investment to $850,000. All of these projects ha</w:t>
      </w:r>
      <w:r>
        <w:rPr>
          <w:rFonts w:cs="Arial"/>
        </w:rPr>
        <w:t xml:space="preserve">ve closed and are under or have completed construction. A request for funding for 150 rental units also located at the Marriner Mill building was made by another developer. A soft commitment of $850,000 has been made pending </w:t>
      </w:r>
      <w:r>
        <w:rPr>
          <w:rFonts w:cs="Arial"/>
        </w:rPr>
        <w:lastRenderedPageBreak/>
        <w:t>meeting the conditions set fort</w:t>
      </w:r>
      <w:r>
        <w:rPr>
          <w:rFonts w:cs="Arial"/>
        </w:rPr>
        <w:t>h in the letter including completion of the environmental review which is underway. A request for funding for 98 rental units located at 59-71 Merrimack Street was made by another developer. A soft commitment of $1,000,000 has been made pending meeting the</w:t>
      </w:r>
      <w:r>
        <w:rPr>
          <w:rFonts w:cs="Arial"/>
        </w:rPr>
        <w:t xml:space="preserve"> conditions set forth in the letter including completion of the environmental review which is underway. </w:t>
      </w:r>
    </w:p>
    <w:p w:rsidR="005D4F50" w:rsidRDefault="005D4F50">
      <w:pPr>
        <w:widowControl w:val="0"/>
        <w:rPr>
          <w:rFonts w:cs="Arial"/>
          <w:szCs w:val="26"/>
        </w:rPr>
      </w:pPr>
    </w:p>
    <w:p w:rsidR="005D4F50" w:rsidRDefault="005D4F50"/>
    <w:p w:rsidR="005D4F50" w:rsidRDefault="005D4F50"/>
    <w:p w:rsidR="005D4F50" w:rsidRDefault="002420D6">
      <w:pPr>
        <w:pStyle w:val="Heading2"/>
        <w:keepNext w:val="0"/>
        <w:pageBreakBefore/>
        <w:widowControl w:val="0"/>
        <w:rPr>
          <w:rFonts w:ascii="Calibri" w:hAnsi="Calibri"/>
          <w:i w:val="0"/>
        </w:rPr>
      </w:pPr>
      <w:r>
        <w:rPr>
          <w:rFonts w:ascii="Calibri" w:hAnsi="Calibri"/>
          <w:i w:val="0"/>
        </w:rPr>
        <w:lastRenderedPageBreak/>
        <w:t>CR-55 - HOPWA 91.520(e)</w:t>
      </w:r>
    </w:p>
    <w:p w:rsidR="005D4F50" w:rsidRDefault="002420D6">
      <w:pPr>
        <w:widowControl w:val="0"/>
        <w:rPr>
          <w:b/>
          <w:sz w:val="24"/>
          <w:szCs w:val="24"/>
        </w:rPr>
      </w:pPr>
      <w:r>
        <w:rPr>
          <w:b/>
          <w:sz w:val="24"/>
          <w:szCs w:val="24"/>
        </w:rPr>
        <w:t xml:space="preserve">Identify the number of individuals assisted and the types of assistance provided </w:t>
      </w:r>
    </w:p>
    <w:p w:rsidR="005D4F50" w:rsidRDefault="002420D6">
      <w:pPr>
        <w:widowControl w:val="0"/>
        <w:rPr>
          <w:sz w:val="24"/>
          <w:szCs w:val="24"/>
        </w:rPr>
      </w:pPr>
      <w:r>
        <w:rPr>
          <w:sz w:val="24"/>
          <w:szCs w:val="24"/>
        </w:rPr>
        <w:t>Table for report on the one-year goals for</w:t>
      </w:r>
      <w:r>
        <w:rPr>
          <w:sz w:val="24"/>
          <w:szCs w:val="24"/>
        </w:rPr>
        <w:t xml:space="preserve"> the number of households provided housing through the use of HOPWA activities for: short-term rent, mortgage, and utility assistance payments to prevent homelessness of the individual or family; tenant-based rental assistance; and units provided in housin</w:t>
      </w:r>
      <w:r>
        <w:rPr>
          <w:sz w:val="24"/>
          <w:szCs w:val="24"/>
        </w:rPr>
        <w:t>g facilities developed, leased, or operated with HOPWA funds.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60"/>
        <w:gridCol w:w="2462"/>
        <w:gridCol w:w="2328"/>
      </w:tblGrid>
      <w:tr w:rsidR="005D4F50">
        <w:trPr>
          <w:cantSplit/>
        </w:trPr>
        <w:tc>
          <w:tcPr>
            <w:tcW w:w="4673" w:type="dxa"/>
          </w:tcPr>
          <w:p w:rsidR="005D4F50" w:rsidRDefault="002420D6">
            <w:pPr>
              <w:keepNext/>
              <w:widowControl w:val="0"/>
              <w:tabs>
                <w:tab w:val="left" w:pos="2070"/>
              </w:tabs>
              <w:spacing w:after="0" w:line="240" w:lineRule="auto"/>
              <w:ind w:right="162"/>
              <w:jc w:val="center"/>
              <w:rPr>
                <w:b/>
              </w:rPr>
            </w:pPr>
            <w:r>
              <w:rPr>
                <w:b/>
              </w:rPr>
              <w:t>Number  of Households Served Through:</w:t>
            </w:r>
          </w:p>
        </w:tc>
        <w:tc>
          <w:tcPr>
            <w:tcW w:w="2520" w:type="dxa"/>
          </w:tcPr>
          <w:p w:rsidR="005D4F50" w:rsidRDefault="002420D6">
            <w:pPr>
              <w:keepNext/>
              <w:widowControl w:val="0"/>
              <w:spacing w:after="0" w:line="240" w:lineRule="auto"/>
              <w:jc w:val="center"/>
              <w:rPr>
                <w:b/>
              </w:rPr>
            </w:pPr>
            <w:r>
              <w:rPr>
                <w:b/>
              </w:rPr>
              <w:t>One-year Goal</w:t>
            </w:r>
          </w:p>
        </w:tc>
        <w:tc>
          <w:tcPr>
            <w:tcW w:w="2383" w:type="dxa"/>
          </w:tcPr>
          <w:p w:rsidR="005D4F50" w:rsidRDefault="002420D6">
            <w:pPr>
              <w:keepNext/>
              <w:widowControl w:val="0"/>
              <w:spacing w:after="0" w:line="240" w:lineRule="auto"/>
              <w:jc w:val="center"/>
              <w:rPr>
                <w:b/>
              </w:rPr>
            </w:pPr>
            <w:r>
              <w:rPr>
                <w:b/>
              </w:rPr>
              <w:t>Actual</w:t>
            </w:r>
          </w:p>
        </w:tc>
      </w:tr>
      <w:tr w:rsidR="005D4F50">
        <w:trPr>
          <w:cantSplit/>
        </w:trPr>
        <w:tc>
          <w:tcPr>
            <w:tcW w:w="4680" w:type="dxa"/>
            <w:vAlign w:val="bottom"/>
          </w:tcPr>
          <w:p w:rsidR="005D4F50" w:rsidRDefault="002420D6">
            <w:pPr>
              <w:spacing w:beforeAutospacing="1" w:afterAutospacing="1"/>
            </w:pPr>
            <w:r>
              <w:rPr>
                <w:color w:val="000000"/>
              </w:rPr>
              <w:t>Short-term rent, mortgage, and utility assistance to prevent homelessness of the individual or family</w:t>
            </w:r>
          </w:p>
        </w:tc>
        <w:tc>
          <w:tcPr>
            <w:tcW w:w="2524" w:type="dxa"/>
            <w:vAlign w:val="bottom"/>
          </w:tcPr>
          <w:p w:rsidR="005D4F50" w:rsidRDefault="002420D6">
            <w:pPr>
              <w:spacing w:beforeAutospacing="1" w:afterAutospacing="1"/>
              <w:jc w:val="right"/>
            </w:pPr>
            <w:r>
              <w:rPr>
                <w:color w:val="000000"/>
              </w:rPr>
              <w:t>0</w:t>
            </w:r>
          </w:p>
        </w:tc>
        <w:tc>
          <w:tcPr>
            <w:tcW w:w="2386" w:type="dxa"/>
            <w:vAlign w:val="bottom"/>
          </w:tcPr>
          <w:p w:rsidR="005D4F50" w:rsidRDefault="002420D6">
            <w:pPr>
              <w:spacing w:beforeAutospacing="1" w:afterAutospacing="1"/>
              <w:jc w:val="right"/>
            </w:pPr>
            <w:r>
              <w:rPr>
                <w:color w:val="000000"/>
              </w:rPr>
              <w:t>0</w:t>
            </w:r>
          </w:p>
        </w:tc>
      </w:tr>
      <w:tr w:rsidR="005D4F50">
        <w:trPr>
          <w:cantSplit/>
        </w:trPr>
        <w:tc>
          <w:tcPr>
            <w:tcW w:w="4680" w:type="dxa"/>
            <w:vAlign w:val="bottom"/>
          </w:tcPr>
          <w:p w:rsidR="005D4F50" w:rsidRDefault="002420D6">
            <w:pPr>
              <w:spacing w:beforeAutospacing="1" w:afterAutospacing="1"/>
            </w:pPr>
            <w:r>
              <w:rPr>
                <w:color w:val="000000"/>
              </w:rPr>
              <w:t>Tenant-based rental assistance</w:t>
            </w:r>
          </w:p>
        </w:tc>
        <w:tc>
          <w:tcPr>
            <w:tcW w:w="2524" w:type="dxa"/>
            <w:vAlign w:val="bottom"/>
          </w:tcPr>
          <w:p w:rsidR="005D4F50" w:rsidRDefault="002420D6">
            <w:pPr>
              <w:spacing w:beforeAutospacing="1" w:afterAutospacing="1"/>
              <w:jc w:val="right"/>
            </w:pPr>
            <w:r>
              <w:rPr>
                <w:color w:val="000000"/>
              </w:rPr>
              <w:t>0</w:t>
            </w:r>
          </w:p>
        </w:tc>
        <w:tc>
          <w:tcPr>
            <w:tcW w:w="2386" w:type="dxa"/>
            <w:vAlign w:val="bottom"/>
          </w:tcPr>
          <w:p w:rsidR="005D4F50" w:rsidRDefault="002420D6">
            <w:pPr>
              <w:spacing w:beforeAutospacing="1" w:afterAutospacing="1"/>
              <w:jc w:val="right"/>
            </w:pPr>
            <w:r>
              <w:rPr>
                <w:color w:val="000000"/>
              </w:rPr>
              <w:t>0</w:t>
            </w:r>
          </w:p>
        </w:tc>
      </w:tr>
      <w:tr w:rsidR="005D4F50">
        <w:trPr>
          <w:cantSplit/>
        </w:trPr>
        <w:tc>
          <w:tcPr>
            <w:tcW w:w="4680" w:type="dxa"/>
            <w:vAlign w:val="bottom"/>
          </w:tcPr>
          <w:p w:rsidR="005D4F50" w:rsidRDefault="002420D6">
            <w:pPr>
              <w:spacing w:beforeAutospacing="1" w:afterAutospacing="1"/>
            </w:pPr>
            <w:r>
              <w:rPr>
                <w:color w:val="000000"/>
              </w:rPr>
              <w:t>Units provided in permanent housing facilities developed, leased, or operated with HOPWA funds</w:t>
            </w:r>
          </w:p>
        </w:tc>
        <w:tc>
          <w:tcPr>
            <w:tcW w:w="2524" w:type="dxa"/>
            <w:vAlign w:val="bottom"/>
          </w:tcPr>
          <w:p w:rsidR="005D4F50" w:rsidRDefault="002420D6">
            <w:pPr>
              <w:spacing w:beforeAutospacing="1" w:afterAutospacing="1"/>
              <w:jc w:val="right"/>
            </w:pPr>
            <w:r>
              <w:rPr>
                <w:color w:val="000000"/>
              </w:rPr>
              <w:t>0</w:t>
            </w:r>
          </w:p>
        </w:tc>
        <w:tc>
          <w:tcPr>
            <w:tcW w:w="2386" w:type="dxa"/>
            <w:vAlign w:val="bottom"/>
          </w:tcPr>
          <w:p w:rsidR="005D4F50" w:rsidRDefault="002420D6">
            <w:pPr>
              <w:spacing w:beforeAutospacing="1" w:afterAutospacing="1"/>
              <w:jc w:val="right"/>
            </w:pPr>
            <w:r>
              <w:rPr>
                <w:color w:val="000000"/>
              </w:rPr>
              <w:t>0</w:t>
            </w:r>
          </w:p>
        </w:tc>
      </w:tr>
      <w:tr w:rsidR="005D4F50">
        <w:trPr>
          <w:cantSplit/>
        </w:trPr>
        <w:tc>
          <w:tcPr>
            <w:tcW w:w="4680" w:type="dxa"/>
            <w:vAlign w:val="bottom"/>
          </w:tcPr>
          <w:p w:rsidR="005D4F50" w:rsidRDefault="002420D6">
            <w:pPr>
              <w:spacing w:beforeAutospacing="1" w:afterAutospacing="1"/>
            </w:pPr>
            <w:r>
              <w:rPr>
                <w:color w:val="000000"/>
              </w:rPr>
              <w:t>Units provided in transitional short-term housing facilities developed, leased, or operated with HOPWA funds</w:t>
            </w:r>
          </w:p>
        </w:tc>
        <w:tc>
          <w:tcPr>
            <w:tcW w:w="2524" w:type="dxa"/>
            <w:vAlign w:val="bottom"/>
          </w:tcPr>
          <w:p w:rsidR="005D4F50" w:rsidRDefault="002420D6">
            <w:pPr>
              <w:spacing w:beforeAutospacing="1" w:afterAutospacing="1"/>
              <w:jc w:val="right"/>
            </w:pPr>
            <w:r>
              <w:rPr>
                <w:color w:val="000000"/>
              </w:rPr>
              <w:t>0</w:t>
            </w:r>
          </w:p>
        </w:tc>
        <w:tc>
          <w:tcPr>
            <w:tcW w:w="2386" w:type="dxa"/>
            <w:vAlign w:val="bottom"/>
          </w:tcPr>
          <w:p w:rsidR="005D4F50" w:rsidRDefault="002420D6">
            <w:pPr>
              <w:spacing w:beforeAutospacing="1" w:afterAutospacing="1"/>
              <w:jc w:val="right"/>
            </w:pPr>
            <w:r>
              <w:rPr>
                <w:color w:val="000000"/>
              </w:rPr>
              <w:t>0</w:t>
            </w:r>
          </w:p>
        </w:tc>
      </w:tr>
      <w:tr w:rsidR="005D4F50">
        <w:trPr>
          <w:cantSplit/>
        </w:trPr>
        <w:tc>
          <w:tcPr>
            <w:tcW w:w="4680" w:type="dxa"/>
          </w:tcPr>
          <w:p w:rsidR="005D4F50" w:rsidRDefault="002420D6">
            <w:pPr>
              <w:spacing w:beforeAutospacing="1" w:afterAutospacing="1"/>
            </w:pPr>
            <w:r>
              <w:rPr>
                <w:rFonts w:ascii="Verdana" w:hAnsi="Verdana"/>
                <w:color w:val="FFFFFF"/>
                <w:sz w:val="16"/>
              </w:rPr>
              <w:t>Total</w:t>
            </w:r>
          </w:p>
        </w:tc>
        <w:tc>
          <w:tcPr>
            <w:tcW w:w="2524" w:type="dxa"/>
          </w:tcPr>
          <w:p w:rsidR="005D4F50" w:rsidRDefault="002420D6">
            <w:pPr>
              <w:spacing w:beforeAutospacing="1" w:afterAutospacing="1"/>
              <w:jc w:val="right"/>
            </w:pPr>
            <w:r>
              <w:rPr>
                <w:rFonts w:ascii="Verdana" w:hAnsi="Verdana"/>
                <w:color w:val="FFFFFF"/>
                <w:sz w:val="16"/>
              </w:rPr>
              <w:t>0</w:t>
            </w:r>
          </w:p>
        </w:tc>
        <w:tc>
          <w:tcPr>
            <w:tcW w:w="2386" w:type="dxa"/>
          </w:tcPr>
          <w:p w:rsidR="005D4F50" w:rsidRDefault="002420D6">
            <w:pPr>
              <w:spacing w:beforeAutospacing="1" w:afterAutospacing="1"/>
              <w:jc w:val="right"/>
            </w:pPr>
            <w:r>
              <w:rPr>
                <w:rFonts w:ascii="Verdana" w:hAnsi="Verdana"/>
                <w:color w:val="FFFFFF"/>
                <w:sz w:val="16"/>
              </w:rPr>
              <w:t>0</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14</w:t>
      </w:r>
      <w:r>
        <w:rPr>
          <w:rFonts w:asciiTheme="minorHAnsi" w:hAnsiTheme="minorHAnsi"/>
        </w:rPr>
        <w:fldChar w:fldCharType="end"/>
      </w:r>
      <w:r>
        <w:rPr>
          <w:rFonts w:asciiTheme="minorHAnsi" w:hAnsiTheme="minorHAnsi"/>
        </w:rPr>
        <w:t xml:space="preserve"> – HOPWA Number of Households Served</w:t>
      </w:r>
    </w:p>
    <w:p w:rsidR="005D4F50" w:rsidRDefault="005D4F50">
      <w:pPr>
        <w:widowControl w:val="0"/>
        <w:rPr>
          <w:b/>
          <w:sz w:val="24"/>
          <w:szCs w:val="24"/>
        </w:rPr>
      </w:pPr>
    </w:p>
    <w:p w:rsidR="005D4F50" w:rsidRDefault="002420D6">
      <w:pPr>
        <w:widowControl w:val="0"/>
        <w:rPr>
          <w:b/>
          <w:sz w:val="24"/>
          <w:szCs w:val="24"/>
        </w:rPr>
      </w:pPr>
      <w:r>
        <w:rPr>
          <w:b/>
          <w:sz w:val="24"/>
          <w:szCs w:val="24"/>
        </w:rPr>
        <w:t>Narrative</w:t>
      </w:r>
    </w:p>
    <w:p w:rsidR="005D4F50" w:rsidRDefault="002420D6">
      <w:pPr>
        <w:widowControl w:val="0"/>
        <w:spacing w:beforeAutospacing="1" w:afterAutospacing="1"/>
        <w:rPr>
          <w:rFonts w:cs="Arial"/>
        </w:rPr>
      </w:pPr>
      <w:r>
        <w:rPr>
          <w:rFonts w:cs="Arial"/>
        </w:rPr>
        <w:t>The City is not a HOPWA grantee.</w:t>
      </w:r>
    </w:p>
    <w:p w:rsidR="005D4F50" w:rsidRDefault="005D4F50">
      <w:pPr>
        <w:spacing w:after="0" w:line="240" w:lineRule="auto"/>
        <w:rPr>
          <w:b/>
        </w:rPr>
      </w:pPr>
    </w:p>
    <w:p w:rsidR="005D4F50" w:rsidRDefault="005D4F50">
      <w:pPr>
        <w:spacing w:after="0" w:line="240" w:lineRule="auto"/>
      </w:pPr>
    </w:p>
    <w:p w:rsidR="005D4F50" w:rsidRDefault="002420D6">
      <w:pPr>
        <w:pStyle w:val="Heading2"/>
        <w:keepNext w:val="0"/>
        <w:pageBreakBefore/>
        <w:widowControl w:val="0"/>
        <w:rPr>
          <w:rFonts w:ascii="Calibri" w:hAnsi="Calibri"/>
          <w:i w:val="0"/>
        </w:rPr>
      </w:pPr>
      <w:r>
        <w:rPr>
          <w:rFonts w:ascii="Calibri" w:hAnsi="Calibri"/>
          <w:i w:val="0"/>
        </w:rPr>
        <w:lastRenderedPageBreak/>
        <w:t>CR-58 – Section 3</w:t>
      </w:r>
    </w:p>
    <w:p w:rsidR="005D4F50" w:rsidRDefault="002420D6">
      <w:pPr>
        <w:widowControl w:val="0"/>
        <w:rPr>
          <w:b/>
          <w:sz w:val="24"/>
          <w:szCs w:val="24"/>
        </w:rPr>
      </w:pPr>
      <w:r>
        <w:rPr>
          <w:b/>
          <w:sz w:val="24"/>
          <w:szCs w:val="24"/>
        </w:rPr>
        <w:t xml:space="preserve">Identify the number of individuals assisted and the types of assistance provided </w:t>
      </w:r>
    </w:p>
    <w:p w:rsidR="005D4F50" w:rsidRDefault="005D4F50">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5D4F50">
        <w:trPr>
          <w:cantSplit/>
        </w:trPr>
        <w:tc>
          <w:tcPr>
            <w:tcW w:w="5490" w:type="dxa"/>
          </w:tcPr>
          <w:p w:rsidR="005D4F50" w:rsidRDefault="002420D6">
            <w:pPr>
              <w:keepNext/>
              <w:widowControl w:val="0"/>
              <w:tabs>
                <w:tab w:val="left" w:pos="2070"/>
              </w:tabs>
              <w:spacing w:after="0" w:line="240" w:lineRule="auto"/>
              <w:ind w:right="162"/>
              <w:jc w:val="center"/>
              <w:rPr>
                <w:b/>
              </w:rPr>
            </w:pPr>
            <w:r>
              <w:rPr>
                <w:b/>
              </w:rPr>
              <w:t>Total Labor Hours</w:t>
            </w:r>
          </w:p>
        </w:tc>
        <w:tc>
          <w:tcPr>
            <w:tcW w:w="810" w:type="dxa"/>
          </w:tcPr>
          <w:p w:rsidR="005D4F50" w:rsidRDefault="002420D6">
            <w:pPr>
              <w:keepNext/>
              <w:widowControl w:val="0"/>
              <w:spacing w:after="0" w:line="240" w:lineRule="auto"/>
              <w:jc w:val="center"/>
              <w:rPr>
                <w:b/>
              </w:rPr>
            </w:pPr>
            <w:r>
              <w:rPr>
                <w:b/>
              </w:rPr>
              <w:t>CDBG</w:t>
            </w:r>
          </w:p>
        </w:tc>
        <w:tc>
          <w:tcPr>
            <w:tcW w:w="900" w:type="dxa"/>
          </w:tcPr>
          <w:p w:rsidR="005D4F50" w:rsidRDefault="002420D6">
            <w:pPr>
              <w:keepNext/>
              <w:widowControl w:val="0"/>
              <w:spacing w:after="0" w:line="240" w:lineRule="auto"/>
              <w:jc w:val="center"/>
              <w:rPr>
                <w:b/>
              </w:rPr>
            </w:pPr>
            <w:r>
              <w:rPr>
                <w:b/>
              </w:rPr>
              <w:t>HOME</w:t>
            </w:r>
          </w:p>
        </w:tc>
        <w:tc>
          <w:tcPr>
            <w:tcW w:w="720" w:type="dxa"/>
          </w:tcPr>
          <w:p w:rsidR="005D4F50" w:rsidRDefault="002420D6">
            <w:pPr>
              <w:keepNext/>
              <w:widowControl w:val="0"/>
              <w:spacing w:after="0" w:line="240" w:lineRule="auto"/>
              <w:rPr>
                <w:b/>
              </w:rPr>
            </w:pPr>
            <w:r>
              <w:rPr>
                <w:b/>
              </w:rPr>
              <w:t>ESG</w:t>
            </w:r>
          </w:p>
        </w:tc>
        <w:tc>
          <w:tcPr>
            <w:tcW w:w="990" w:type="dxa"/>
          </w:tcPr>
          <w:p w:rsidR="005D4F50" w:rsidRDefault="002420D6">
            <w:pPr>
              <w:keepNext/>
              <w:widowControl w:val="0"/>
              <w:spacing w:after="0" w:line="240" w:lineRule="auto"/>
              <w:jc w:val="center"/>
              <w:rPr>
                <w:b/>
              </w:rPr>
            </w:pPr>
            <w:r>
              <w:rPr>
                <w:b/>
              </w:rPr>
              <w:t>HOPWA</w:t>
            </w:r>
          </w:p>
        </w:tc>
        <w:tc>
          <w:tcPr>
            <w:tcW w:w="720" w:type="dxa"/>
          </w:tcPr>
          <w:p w:rsidR="005D4F50" w:rsidRDefault="002420D6">
            <w:pPr>
              <w:keepNext/>
              <w:widowControl w:val="0"/>
              <w:spacing w:after="0" w:line="240" w:lineRule="auto"/>
              <w:jc w:val="center"/>
              <w:rPr>
                <w:b/>
              </w:rPr>
            </w:pPr>
            <w:r>
              <w:rPr>
                <w:b/>
              </w:rPr>
              <w:t>HTF</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Total Number of Activities</w:t>
            </w:r>
          </w:p>
        </w:tc>
        <w:tc>
          <w:tcPr>
            <w:tcW w:w="810" w:type="dxa"/>
            <w:vAlign w:val="center"/>
          </w:tcPr>
          <w:p w:rsidR="005D4F50" w:rsidRDefault="002420D6">
            <w:pPr>
              <w:spacing w:beforeAutospacing="1" w:afterAutospacing="1"/>
              <w:jc w:val="right"/>
            </w:pPr>
            <w:r>
              <w:rPr>
                <w:rFonts w:ascii="Arial" w:hAnsi="Arial"/>
                <w:color w:val="000000"/>
                <w:sz w:val="16"/>
              </w:rPr>
              <w:t>1</w:t>
            </w:r>
          </w:p>
        </w:tc>
        <w:tc>
          <w:tcPr>
            <w:tcW w:w="900" w:type="dxa"/>
            <w:vAlign w:val="center"/>
          </w:tcPr>
          <w:p w:rsidR="005D4F50" w:rsidRDefault="002420D6">
            <w:pPr>
              <w:spacing w:beforeAutospacing="1" w:afterAutospacing="1"/>
              <w:jc w:val="right"/>
            </w:pPr>
            <w:r>
              <w:rPr>
                <w:rFonts w:ascii="Arial" w:hAnsi="Arial"/>
                <w:color w:val="000000"/>
                <w:sz w:val="16"/>
              </w:rPr>
              <w:t>1</w:t>
            </w:r>
          </w:p>
        </w:tc>
        <w:tc>
          <w:tcPr>
            <w:tcW w:w="720" w:type="dxa"/>
            <w:vAlign w:val="center"/>
          </w:tcPr>
          <w:p w:rsidR="005D4F50" w:rsidRDefault="002420D6">
            <w:pPr>
              <w:spacing w:beforeAutospacing="1" w:afterAutospacing="1"/>
              <w:jc w:val="right"/>
            </w:pPr>
            <w:r>
              <w:rPr>
                <w:rFonts w:ascii="Arial" w:hAnsi="Arial"/>
                <w:color w:val="000000"/>
                <w:sz w:val="16"/>
              </w:rPr>
              <w:t>0</w:t>
            </w:r>
          </w:p>
        </w:tc>
        <w:tc>
          <w:tcPr>
            <w:tcW w:w="990" w:type="dxa"/>
            <w:vAlign w:val="center"/>
          </w:tcPr>
          <w:p w:rsidR="005D4F50" w:rsidRDefault="002420D6">
            <w:pPr>
              <w:spacing w:beforeAutospacing="1" w:afterAutospacing="1"/>
              <w:jc w:val="right"/>
            </w:pPr>
            <w:r>
              <w:rPr>
                <w:rFonts w:ascii="Arial" w:hAnsi="Arial"/>
                <w:color w:val="000000"/>
                <w:sz w:val="16"/>
              </w:rPr>
              <w:t>0</w:t>
            </w:r>
          </w:p>
        </w:tc>
        <w:tc>
          <w:tcPr>
            <w:tcW w:w="720" w:type="dxa"/>
            <w:vAlign w:val="center"/>
          </w:tcPr>
          <w:p w:rsidR="005D4F50" w:rsidRDefault="002420D6">
            <w:pPr>
              <w:spacing w:beforeAutospacing="1" w:afterAutospacing="1"/>
              <w:jc w:val="right"/>
            </w:pPr>
            <w:r>
              <w:rPr>
                <w:rFonts w:ascii="Arial" w:hAnsi="Arial"/>
                <w:color w:val="000000"/>
                <w:sz w:val="16"/>
              </w:rPr>
              <w:t>0</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Total Labor Hours</w:t>
            </w:r>
          </w:p>
        </w:tc>
        <w:tc>
          <w:tcPr>
            <w:tcW w:w="810" w:type="dxa"/>
            <w:vAlign w:val="center"/>
          </w:tcPr>
          <w:p w:rsidR="005D4F50" w:rsidRDefault="002420D6">
            <w:pPr>
              <w:spacing w:beforeAutospacing="1" w:afterAutospacing="1"/>
              <w:jc w:val="right"/>
            </w:pPr>
            <w:r>
              <w:rPr>
                <w:rFonts w:ascii="Arial" w:hAnsi="Arial"/>
                <w:color w:val="000000"/>
                <w:sz w:val="16"/>
              </w:rPr>
              <w:t>0</w:t>
            </w:r>
          </w:p>
        </w:tc>
        <w:tc>
          <w:tcPr>
            <w:tcW w:w="900" w:type="dxa"/>
            <w:vAlign w:val="center"/>
          </w:tcPr>
          <w:p w:rsidR="005D4F50" w:rsidRDefault="002420D6">
            <w:pPr>
              <w:spacing w:beforeAutospacing="1" w:afterAutospacing="1"/>
              <w:jc w:val="right"/>
            </w:pPr>
            <w:r>
              <w:rPr>
                <w:rFonts w:ascii="Arial" w:hAnsi="Arial"/>
                <w:color w:val="000000"/>
                <w:sz w:val="16"/>
              </w:rPr>
              <w:t>27,564</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Total Section 3 Worker Hours</w:t>
            </w:r>
          </w:p>
        </w:tc>
        <w:tc>
          <w:tcPr>
            <w:tcW w:w="810" w:type="dxa"/>
            <w:vAlign w:val="center"/>
          </w:tcPr>
          <w:p w:rsidR="005D4F50" w:rsidRDefault="002420D6">
            <w:pPr>
              <w:spacing w:beforeAutospacing="1" w:afterAutospacing="1"/>
              <w:jc w:val="right"/>
            </w:pPr>
            <w:r>
              <w:rPr>
                <w:rFonts w:ascii="Arial" w:hAnsi="Arial"/>
                <w:color w:val="000000"/>
                <w:sz w:val="16"/>
              </w:rPr>
              <w:t>0</w:t>
            </w:r>
          </w:p>
        </w:tc>
        <w:tc>
          <w:tcPr>
            <w:tcW w:w="900" w:type="dxa"/>
            <w:vAlign w:val="center"/>
          </w:tcPr>
          <w:p w:rsidR="005D4F50" w:rsidRDefault="002420D6">
            <w:pPr>
              <w:spacing w:beforeAutospacing="1" w:afterAutospacing="1"/>
              <w:jc w:val="right"/>
            </w:pPr>
            <w:r>
              <w:rPr>
                <w:rFonts w:ascii="Arial" w:hAnsi="Arial"/>
                <w:color w:val="000000"/>
                <w:sz w:val="16"/>
              </w:rPr>
              <w:t>11,940</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Total Targeted Section 3 Worker Hours</w:t>
            </w:r>
          </w:p>
        </w:tc>
        <w:tc>
          <w:tcPr>
            <w:tcW w:w="810" w:type="dxa"/>
            <w:vAlign w:val="center"/>
          </w:tcPr>
          <w:p w:rsidR="005D4F50" w:rsidRDefault="002420D6">
            <w:pPr>
              <w:spacing w:beforeAutospacing="1" w:afterAutospacing="1"/>
              <w:jc w:val="right"/>
            </w:pPr>
            <w:r>
              <w:rPr>
                <w:rFonts w:ascii="Arial" w:hAnsi="Arial"/>
                <w:color w:val="000000"/>
                <w:sz w:val="16"/>
              </w:rPr>
              <w:t>0</w:t>
            </w:r>
          </w:p>
        </w:tc>
        <w:tc>
          <w:tcPr>
            <w:tcW w:w="900" w:type="dxa"/>
            <w:vAlign w:val="center"/>
          </w:tcPr>
          <w:p w:rsidR="005D4F50" w:rsidRDefault="002420D6">
            <w:pPr>
              <w:spacing w:beforeAutospacing="1" w:afterAutospacing="1"/>
              <w:jc w:val="right"/>
            </w:pPr>
            <w:r>
              <w:rPr>
                <w:rFonts w:ascii="Arial" w:hAnsi="Arial"/>
                <w:color w:val="000000"/>
                <w:sz w:val="16"/>
              </w:rPr>
              <w:t>0</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15</w:t>
      </w:r>
      <w:r>
        <w:rPr>
          <w:rFonts w:asciiTheme="minorHAnsi" w:hAnsiTheme="minorHAnsi"/>
        </w:rPr>
        <w:fldChar w:fldCharType="end"/>
      </w:r>
      <w:r>
        <w:rPr>
          <w:rFonts w:asciiTheme="minorHAnsi" w:hAnsiTheme="minorHAnsi"/>
        </w:rPr>
        <w:t xml:space="preserve"> – Total Labor Hours</w:t>
      </w:r>
    </w:p>
    <w:p w:rsidR="005D4F50" w:rsidRDefault="005D4F50">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5D4F50">
        <w:trPr>
          <w:cantSplit/>
        </w:trPr>
        <w:tc>
          <w:tcPr>
            <w:tcW w:w="5490" w:type="dxa"/>
          </w:tcPr>
          <w:p w:rsidR="005D4F50" w:rsidRDefault="002420D6">
            <w:pPr>
              <w:keepNext/>
              <w:widowControl w:val="0"/>
              <w:tabs>
                <w:tab w:val="left" w:pos="2070"/>
              </w:tabs>
              <w:spacing w:after="0" w:line="240" w:lineRule="auto"/>
              <w:ind w:right="162"/>
              <w:jc w:val="center"/>
              <w:rPr>
                <w:b/>
              </w:rPr>
            </w:pPr>
            <w:r>
              <w:rPr>
                <w:b/>
              </w:rPr>
              <w:t xml:space="preserve">Qualitative Efforts - </w:t>
            </w:r>
            <w:r>
              <w:rPr>
                <w:b/>
              </w:rPr>
              <w:t>Number of Activities by Program</w:t>
            </w:r>
          </w:p>
        </w:tc>
        <w:tc>
          <w:tcPr>
            <w:tcW w:w="810" w:type="dxa"/>
          </w:tcPr>
          <w:p w:rsidR="005D4F50" w:rsidRDefault="002420D6">
            <w:pPr>
              <w:keepNext/>
              <w:widowControl w:val="0"/>
              <w:spacing w:after="0" w:line="240" w:lineRule="auto"/>
              <w:jc w:val="center"/>
              <w:rPr>
                <w:b/>
              </w:rPr>
            </w:pPr>
            <w:r>
              <w:rPr>
                <w:b/>
              </w:rPr>
              <w:t>CDBG</w:t>
            </w:r>
          </w:p>
        </w:tc>
        <w:tc>
          <w:tcPr>
            <w:tcW w:w="900" w:type="dxa"/>
          </w:tcPr>
          <w:p w:rsidR="005D4F50" w:rsidRDefault="002420D6">
            <w:pPr>
              <w:keepNext/>
              <w:widowControl w:val="0"/>
              <w:spacing w:after="0" w:line="240" w:lineRule="auto"/>
              <w:jc w:val="center"/>
              <w:rPr>
                <w:b/>
              </w:rPr>
            </w:pPr>
            <w:r>
              <w:rPr>
                <w:b/>
              </w:rPr>
              <w:t>HOME</w:t>
            </w:r>
          </w:p>
        </w:tc>
        <w:tc>
          <w:tcPr>
            <w:tcW w:w="720" w:type="dxa"/>
          </w:tcPr>
          <w:p w:rsidR="005D4F50" w:rsidRDefault="002420D6">
            <w:pPr>
              <w:keepNext/>
              <w:widowControl w:val="0"/>
              <w:spacing w:after="0" w:line="240" w:lineRule="auto"/>
              <w:rPr>
                <w:b/>
              </w:rPr>
            </w:pPr>
            <w:r>
              <w:rPr>
                <w:b/>
              </w:rPr>
              <w:t>ESG</w:t>
            </w:r>
          </w:p>
        </w:tc>
        <w:tc>
          <w:tcPr>
            <w:tcW w:w="990" w:type="dxa"/>
          </w:tcPr>
          <w:p w:rsidR="005D4F50" w:rsidRDefault="002420D6">
            <w:pPr>
              <w:keepNext/>
              <w:widowControl w:val="0"/>
              <w:spacing w:after="0" w:line="240" w:lineRule="auto"/>
              <w:jc w:val="center"/>
              <w:rPr>
                <w:b/>
              </w:rPr>
            </w:pPr>
            <w:r>
              <w:rPr>
                <w:b/>
              </w:rPr>
              <w:t>HOPWA</w:t>
            </w:r>
          </w:p>
        </w:tc>
        <w:tc>
          <w:tcPr>
            <w:tcW w:w="720" w:type="dxa"/>
          </w:tcPr>
          <w:p w:rsidR="005D4F50" w:rsidRDefault="002420D6">
            <w:pPr>
              <w:keepNext/>
              <w:widowControl w:val="0"/>
              <w:spacing w:after="0" w:line="240" w:lineRule="auto"/>
              <w:jc w:val="center"/>
              <w:rPr>
                <w:b/>
              </w:rPr>
            </w:pPr>
            <w:r>
              <w:rPr>
                <w:b/>
              </w:rPr>
              <w:t>HTF</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1</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1</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Direct, on-the job training (including apprenticeships).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Provided or connected residents with assistance in seeking employment including: drafting resumes,preparing for interviews, finding job opportunities, connecting residents to job placement services.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Held one or more job fairs.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1</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Provided or connected residents with supportive services that provide one or more of the following: work readiness health screenings, intervi</w:t>
            </w:r>
            <w:r>
              <w:rPr>
                <w:rFonts w:ascii="Arial" w:hAnsi="Arial"/>
                <w:color w:val="25396E"/>
                <w:sz w:val="16"/>
              </w:rPr>
              <w:t>ew clothing, uniforms, test fees, transportation.</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Assisted residents with finding child care.</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Assisted residents to apply for, or attend community college or a four year educational institution.</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Assisted residents to apply for, or attend vocational/technical training.</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Assisted residents to obtain financial literacy training and/or coaching.</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r w:rsidR="005D4F50">
        <w:trPr>
          <w:cantSplit/>
        </w:trPr>
        <w:tc>
          <w:tcPr>
            <w:tcW w:w="5490" w:type="dxa"/>
            <w:vAlign w:val="center"/>
          </w:tcPr>
          <w:p w:rsidR="005D4F50" w:rsidRDefault="002420D6">
            <w:pPr>
              <w:spacing w:beforeAutospacing="1" w:afterAutospacing="1"/>
            </w:pPr>
            <w:r>
              <w:rPr>
                <w:rFonts w:ascii="Arial" w:hAnsi="Arial"/>
                <w:color w:val="25396E"/>
                <w:sz w:val="16"/>
              </w:rPr>
              <w:lastRenderedPageBreak/>
              <w:t>Other.</w:t>
            </w:r>
          </w:p>
        </w:tc>
        <w:tc>
          <w:tcPr>
            <w:tcW w:w="810" w:type="dxa"/>
            <w:vAlign w:val="center"/>
          </w:tcPr>
          <w:p w:rsidR="005D4F50" w:rsidRDefault="002420D6">
            <w:pPr>
              <w:spacing w:beforeAutospacing="1" w:afterAutospacing="1"/>
              <w:jc w:val="right"/>
            </w:pPr>
            <w:r>
              <w:rPr>
                <w:rFonts w:ascii="Arial" w:hAnsi="Arial"/>
                <w:color w:val="000000"/>
                <w:sz w:val="16"/>
              </w:rPr>
              <w:t xml:space="preserve"> </w:t>
            </w:r>
          </w:p>
        </w:tc>
        <w:tc>
          <w:tcPr>
            <w:tcW w:w="90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c>
          <w:tcPr>
            <w:tcW w:w="990" w:type="dxa"/>
            <w:vAlign w:val="center"/>
          </w:tcPr>
          <w:p w:rsidR="005D4F50" w:rsidRDefault="002420D6">
            <w:pPr>
              <w:spacing w:beforeAutospacing="1" w:afterAutospacing="1"/>
              <w:jc w:val="right"/>
            </w:pPr>
            <w:r>
              <w:rPr>
                <w:rFonts w:ascii="Arial" w:hAnsi="Arial"/>
                <w:color w:val="000000"/>
                <w:sz w:val="16"/>
              </w:rPr>
              <w:t xml:space="preserve"> </w:t>
            </w:r>
          </w:p>
        </w:tc>
        <w:tc>
          <w:tcPr>
            <w:tcW w:w="720" w:type="dxa"/>
            <w:vAlign w:val="center"/>
          </w:tcPr>
          <w:p w:rsidR="005D4F50" w:rsidRDefault="002420D6">
            <w:pPr>
              <w:spacing w:beforeAutospacing="1" w:afterAutospacing="1"/>
              <w:jc w:val="right"/>
            </w:pPr>
            <w:r>
              <w:rPr>
                <w:rFonts w:ascii="Arial" w:hAnsi="Arial"/>
                <w:color w:val="000000"/>
                <w:sz w:val="16"/>
              </w:rPr>
              <w:t xml:space="preserve"> </w:t>
            </w:r>
          </w:p>
        </w:tc>
      </w:tr>
    </w:tbl>
    <w:p w:rsidR="005D4F50" w:rsidRDefault="002420D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16</w:t>
      </w:r>
      <w:r>
        <w:rPr>
          <w:rFonts w:asciiTheme="minorHAnsi" w:hAnsiTheme="minorHAnsi"/>
        </w:rPr>
        <w:fldChar w:fldCharType="end"/>
      </w:r>
      <w:r>
        <w:rPr>
          <w:rFonts w:asciiTheme="minorHAnsi" w:hAnsiTheme="minorHAnsi"/>
        </w:rPr>
        <w:t xml:space="preserve"> – Qualitative Efforts - Number of Activities by Program</w:t>
      </w:r>
    </w:p>
    <w:p w:rsidR="005D4F50" w:rsidRDefault="005D4F50">
      <w:pPr>
        <w:widowControl w:val="0"/>
        <w:rPr>
          <w:b/>
          <w:sz w:val="24"/>
          <w:szCs w:val="24"/>
        </w:rPr>
      </w:pPr>
    </w:p>
    <w:p w:rsidR="005D4F50" w:rsidRDefault="002420D6">
      <w:pPr>
        <w:widowControl w:val="0"/>
        <w:rPr>
          <w:b/>
          <w:sz w:val="24"/>
          <w:szCs w:val="24"/>
        </w:rPr>
      </w:pPr>
      <w:r>
        <w:rPr>
          <w:b/>
          <w:sz w:val="24"/>
          <w:szCs w:val="24"/>
        </w:rPr>
        <w:t>Narrative</w:t>
      </w:r>
    </w:p>
    <w:p w:rsidR="005D4F50" w:rsidRDefault="002420D6">
      <w:pPr>
        <w:widowControl w:val="0"/>
        <w:spacing w:beforeAutospacing="1" w:afterAutospacing="1"/>
        <w:rPr>
          <w:rFonts w:cs="Arial"/>
        </w:rPr>
      </w:pPr>
      <w:r>
        <w:rPr>
          <w:rFonts w:cs="Arial"/>
        </w:rPr>
        <w:t>Meeting the Section 3 goals has proved challenging. Many if not all of the contractors who bid on Section 3 jobs are fully staffed and from out of town. Very few have Lawrence residents on</w:t>
      </w:r>
      <w:r>
        <w:rPr>
          <w:rFonts w:cs="Arial"/>
        </w:rPr>
        <w:t xml:space="preserve"> staff to help meet the Targeted Section 3 Worker hours. Also, many of them work on prevailing wage projects and therefore do not meet the income guidelines. </w:t>
      </w:r>
    </w:p>
    <w:p w:rsidR="005D4F50" w:rsidRDefault="005D4F50"/>
    <w:sectPr w:rsidR="005D4F5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F50" w:rsidRDefault="002420D6">
      <w:r>
        <w:separator/>
      </w:r>
    </w:p>
  </w:endnote>
  <w:endnote w:type="continuationSeparator" w:id="0">
    <w:p w:rsidR="005D4F50" w:rsidRDefault="0024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0D6" w:rsidRDefault="0024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1E0" w:firstRow="1" w:lastRow="1" w:firstColumn="1" w:lastColumn="1" w:noHBand="0" w:noVBand="0"/>
    </w:tblPr>
    <w:tblGrid>
      <w:gridCol w:w="828"/>
      <w:gridCol w:w="7976"/>
      <w:gridCol w:w="772"/>
    </w:tblGrid>
    <w:tr w:rsidR="005D4F50">
      <w:trPr>
        <w:jc w:val="center"/>
      </w:trPr>
      <w:tc>
        <w:tcPr>
          <w:tcW w:w="828" w:type="dxa"/>
        </w:tcPr>
        <w:p w:rsidR="005D4F50" w:rsidRDefault="005D4F50">
          <w:pPr>
            <w:pStyle w:val="Footer"/>
            <w:spacing w:after="0" w:line="240" w:lineRule="auto"/>
            <w:jc w:val="center"/>
          </w:pPr>
        </w:p>
      </w:tc>
      <w:tc>
        <w:tcPr>
          <w:tcW w:w="7976" w:type="dxa"/>
        </w:tcPr>
        <w:p w:rsidR="005D4F50" w:rsidRDefault="002420D6">
          <w:pPr>
            <w:pStyle w:val="Footer"/>
            <w:spacing w:after="0" w:line="240" w:lineRule="auto"/>
            <w:jc w:val="center"/>
          </w:pPr>
          <w:r>
            <w:t>CAPER</w:t>
          </w:r>
        </w:p>
      </w:tc>
      <w:tc>
        <w:tcPr>
          <w:tcW w:w="772" w:type="dxa"/>
        </w:tcPr>
        <w:p w:rsidR="005D4F50" w:rsidRDefault="002420D6">
          <w:pPr>
            <w:pStyle w:val="Footer"/>
            <w:spacing w:after="0" w:line="240" w:lineRule="auto"/>
            <w:jc w:val="right"/>
          </w:pPr>
          <w:r>
            <w:fldChar w:fldCharType="begin"/>
          </w:r>
          <w:r>
            <w:instrText>page</w:instrText>
          </w:r>
          <w:r>
            <w:fldChar w:fldCharType="separate"/>
          </w:r>
          <w:r>
            <w:t>1</w:t>
          </w:r>
          <w:r>
            <w:fldChar w:fldCharType="end"/>
          </w:r>
        </w:p>
      </w:tc>
    </w:tr>
  </w:tbl>
  <w:p w:rsidR="005D4F50" w:rsidRDefault="002420D6">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0D6" w:rsidRDefault="0024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F50" w:rsidRDefault="002420D6">
      <w:r>
        <w:separator/>
      </w:r>
    </w:p>
  </w:footnote>
  <w:footnote w:type="continuationSeparator" w:id="0">
    <w:p w:rsidR="005D4F50" w:rsidRDefault="00242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0D6" w:rsidRDefault="00242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215176"/>
      <w:docPartObj>
        <w:docPartGallery w:val="Watermarks"/>
        <w:docPartUnique/>
      </w:docPartObj>
    </w:sdtPr>
    <w:sdtContent>
      <w:p w:rsidR="002420D6" w:rsidRDefault="002420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0D6" w:rsidRDefault="00242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BE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20D6"/>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4F50"/>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3210909-7CDA-48D0-84C6-B7709E3D579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5639</Words>
  <Characters>32145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Susan Fink</cp:lastModifiedBy>
  <cp:revision>3</cp:revision>
  <cp:lastPrinted>2025-09-09T22:41:00Z</cp:lastPrinted>
  <dcterms:created xsi:type="dcterms:W3CDTF">2025-09-09T22:37:00Z</dcterms:created>
  <dcterms:modified xsi:type="dcterms:W3CDTF">2025-09-09T22:41:00Z</dcterms:modified>
</cp:coreProperties>
</file>